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sdt>
      <w:sdtPr>
        <w:rPr>
          <w:rFonts w:eastAsiaTheme="minorHAnsi"/>
          <w:b/>
          <w:sz w:val="24"/>
          <w:szCs w:val="24"/>
        </w:rPr>
        <w:id w:val="-189375613"/>
        <w:docPartObj>
          <w:docPartGallery w:val="Cover Pages"/>
          <w:docPartUnique/>
        </w:docPartObj>
      </w:sdtPr>
      <w:sdtEndPr>
        <w:rPr>
          <w:rFonts w:eastAsia="Times New Roman"/>
          <w:b w:val="0"/>
          <w:sz w:val="36"/>
          <w:szCs w:val="48"/>
        </w:rPr>
      </w:sdtEndPr>
      <w:sdtContent>
        <w:p w:rsidR="00A42EF3" w:rsidP="00A42EF3">
          <w:pPr>
            <w:pStyle w:val="MainTitle"/>
          </w:pPr>
          <w:bookmarkStart w:id="0" w:name="_Toc482973122"/>
          <w:r>
            <w:rPr>
              <w:noProof/>
              <w:lang w:eastAsia="en-GB"/>
            </w:rPr>
            <w:drawing>
              <wp:anchor distT="0" distB="0" distL="114300" distR="114300" simplePos="0" relativeHeight="251658240" behindDoc="1" locked="0" layoutInCell="1" allowOverlap="1">
                <wp:simplePos x="0" y="0"/>
                <wp:positionH relativeFrom="page">
                  <wp:posOffset>-25400</wp:posOffset>
                </wp:positionH>
                <wp:positionV relativeFrom="paragraph">
                  <wp:posOffset>-907415</wp:posOffset>
                </wp:positionV>
                <wp:extent cx="7568565" cy="10704830"/>
                <wp:effectExtent l="0" t="0" r="0" b="1270"/>
                <wp:wrapNone/>
                <wp:docPr id="3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023360" name="Picture 0"/>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EF3" w:rsidP="00A42EF3">
          <w:pPr>
            <w:pStyle w:val="MainTitle"/>
          </w:pPr>
        </w:p>
        <w:p w:rsidR="00A42EF3" w:rsidP="00A42EF3">
          <w:pPr>
            <w:pStyle w:val="MainTitle"/>
          </w:pPr>
        </w:p>
        <w:p w:rsidR="00A42EF3" w:rsidP="00A42EF3">
          <w:pPr>
            <w:pStyle w:val="MainTitle"/>
          </w:pPr>
        </w:p>
        <w:p w:rsidR="00A42EF3" w:rsidP="00A42EF3">
          <w:pPr>
            <w:pStyle w:val="MainTitle"/>
          </w:pPr>
        </w:p>
        <w:p w:rsidR="00A42EF3" w:rsidP="00A42EF3">
          <w:pPr>
            <w:pStyle w:val="MainTitle"/>
          </w:pPr>
        </w:p>
        <w:p w:rsidR="00A42EF3" w:rsidP="00A42EF3">
          <w:pPr>
            <w:pStyle w:val="MainTitle"/>
          </w:pPr>
        </w:p>
        <w:p w:rsidR="00A42EF3" w:rsidP="00A42EF3">
          <w:pPr>
            <w:pStyle w:val="MainTitle"/>
          </w:pPr>
        </w:p>
        <w:p w:rsidR="00A42EF3" w:rsidP="00A42EF3">
          <w:pPr>
            <w:pStyle w:val="MainTitle"/>
          </w:pPr>
        </w:p>
        <w:p w:rsidR="00A42EF3" w:rsidP="00A42EF3">
          <w:pPr>
            <w:pStyle w:val="MainTitle"/>
          </w:pPr>
        </w:p>
        <w:p w:rsidR="00A42EF3" w:rsidP="00A42EF3">
          <w:pPr>
            <w:pStyle w:val="MainTitle"/>
          </w:pPr>
        </w:p>
        <w:p w:rsidR="00C12255" w:rsidP="00A42EF3">
          <w:pPr>
            <w:pStyle w:val="MainTitle"/>
          </w:pPr>
        </w:p>
        <w:p w:rsidR="00C12255" w:rsidRPr="00C12255" w:rsidP="00195217">
          <w:pPr>
            <w:pStyle w:val="TitlePageSubTitle"/>
          </w:pPr>
        </w:p>
        <w:p w:rsidR="00C52DF8" w:rsidRPr="00A319CE" w:rsidP="00195217">
          <w:pPr>
            <w:pStyle w:val="TitlePageSubTitle"/>
          </w:pPr>
        </w:p>
        <w:p w:rsidR="00CB721D" w:rsidP="00195217">
          <w:pPr>
            <w:pStyle w:val="TitlePageSubTitle"/>
            <w:rPr>
              <w:rStyle w:val="TitlePageChar"/>
            </w:rPr>
          </w:pPr>
        </w:p>
        <w:p w:rsidR="00484458" w:rsidRPr="00195217" w:rsidP="00195217">
          <w:pPr>
            <w:pStyle w:val="TitlePageSubTitle"/>
            <w:rPr>
              <w:rStyle w:val="TitlePageChar"/>
              <w:sz w:val="48"/>
            </w:rPr>
          </w:pPr>
          <w:r>
            <w:rPr>
              <w:rStyle w:val="TitlePageChar"/>
              <w:sz w:val="48"/>
            </w:rPr>
            <w:t xml:space="preserve">Summary of Key Findings </w:t>
          </w:r>
          <w:r w:rsidRPr="00195217">
            <w:rPr>
              <w:rStyle w:val="TitlePageChar"/>
              <w:sz w:val="48"/>
            </w:rPr>
            <w:t>of the C</w:t>
          </w:r>
          <w:r w:rsidRPr="00195217">
            <w:rPr>
              <w:rStyle w:val="TitlePageChar"/>
              <w:sz w:val="48"/>
            </w:rPr>
            <w:t xml:space="preserve">onsultation on the </w:t>
          </w:r>
          <w:r>
            <w:rPr>
              <w:rStyle w:val="TitlePageChar"/>
              <w:sz w:val="48"/>
            </w:rPr>
            <w:t>D</w:t>
          </w:r>
          <w:r w:rsidRPr="00195217">
            <w:rPr>
              <w:rStyle w:val="TitlePageChar"/>
              <w:sz w:val="48"/>
            </w:rPr>
            <w:t xml:space="preserve">raft </w:t>
          </w:r>
          <w:r w:rsidRPr="00195217">
            <w:rPr>
              <w:rStyle w:val="TitlePageChar"/>
              <w:sz w:val="48"/>
            </w:rPr>
            <w:t>H</w:t>
          </w:r>
          <w:r w:rsidRPr="00195217">
            <w:rPr>
              <w:rStyle w:val="TitlePageChar"/>
              <w:sz w:val="48"/>
            </w:rPr>
            <w:t xml:space="preserve">ousing with Care </w:t>
          </w:r>
          <w:r w:rsidRPr="00195217">
            <w:rPr>
              <w:rStyle w:val="TitlePageChar"/>
              <w:sz w:val="48"/>
            </w:rPr>
            <w:t xml:space="preserve">and </w:t>
          </w:r>
          <w:r w:rsidRPr="00195217">
            <w:rPr>
              <w:rStyle w:val="TitlePageChar"/>
              <w:sz w:val="48"/>
            </w:rPr>
            <w:t>Support Strategy</w:t>
          </w:r>
          <w:r w:rsidRPr="00195217">
            <w:rPr>
              <w:rStyle w:val="TitlePageChar"/>
              <w:sz w:val="48"/>
            </w:rPr>
            <w:t xml:space="preserve"> 201</w:t>
          </w:r>
          <w:r>
            <w:rPr>
              <w:rStyle w:val="TitlePageChar"/>
              <w:sz w:val="48"/>
            </w:rPr>
            <w:t>8</w:t>
          </w:r>
          <w:r w:rsidRPr="00195217">
            <w:rPr>
              <w:rStyle w:val="TitlePageChar"/>
              <w:sz w:val="48"/>
            </w:rPr>
            <w:t xml:space="preserve"> – 20</w:t>
          </w:r>
          <w:r>
            <w:rPr>
              <w:rStyle w:val="TitlePageChar"/>
              <w:sz w:val="48"/>
            </w:rPr>
            <w:t>25</w:t>
          </w:r>
          <w:bookmarkStart w:id="1" w:name="_GoBack"/>
          <w:bookmarkEnd w:id="1"/>
          <w:r w:rsidRPr="00195217">
            <w:rPr>
              <w:rStyle w:val="TitlePageChar"/>
              <w:sz w:val="48"/>
            </w:rPr>
            <w:t xml:space="preserve"> </w:t>
          </w:r>
          <w:r w:rsidRPr="00195217">
            <w:rPr>
              <w:rStyle w:val="TitlePageChar"/>
              <w:sz w:val="48"/>
            </w:rPr>
            <w:t xml:space="preserve"> </w:t>
          </w:r>
        </w:p>
        <w:p w:rsidR="00A42EF3" w:rsidRPr="001E7CFE" w:rsidP="00195217">
          <w:pPr>
            <w:pStyle w:val="TitlePageSubTitle"/>
            <w:rPr>
              <w:sz w:val="36"/>
            </w:rPr>
          </w:pPr>
          <w:r w:rsidRPr="00195217">
            <w:rPr>
              <w:rStyle w:val="TitlePageChar"/>
              <w:sz w:val="48"/>
            </w:rPr>
            <w:t>March 2019</w:t>
          </w:r>
          <w:r>
            <w:rPr>
              <w:sz w:val="36"/>
            </w:rPr>
            <w:br w:type="page"/>
          </w:r>
        </w:p>
      </w:sdtContent>
    </w:sdt>
    <w:sdt>
      <w:sdtPr>
        <w:rPr>
          <w:rFonts w:ascii="Corbel" w:hAnsi="Corbel" w:eastAsiaTheme="minorHAnsi" w:cs="Times New Roman"/>
          <w:b w:val="0"/>
          <w:color w:val="auto"/>
          <w:sz w:val="24"/>
          <w:szCs w:val="24"/>
          <w:lang w:val="en-GB"/>
        </w:rPr>
        <w:id w:val="-1105730967"/>
        <w:docPartObj>
          <w:docPartGallery w:val="Table of Contents"/>
          <w:docPartUnique/>
        </w:docPartObj>
      </w:sdtPr>
      <w:sdtEndPr>
        <w:rPr>
          <w:bCs/>
          <w:noProof/>
        </w:rPr>
      </w:sdtEndPr>
      <w:sdtContent>
        <w:p w:rsidR="00FE691A" w:rsidRPr="00C12255" w:rsidP="00425F81">
          <w:pPr>
            <w:pStyle w:val="TOCHeading"/>
            <w:spacing w:line="360" w:lineRule="auto"/>
            <w:rPr>
              <w:rFonts w:ascii="Corbel" w:hAnsi="Corbel"/>
              <w:b w:val="0"/>
              <w:color w:val="D31145" w:themeColor="accent1"/>
            </w:rPr>
          </w:pPr>
          <w:r w:rsidRPr="00C12255">
            <w:rPr>
              <w:rFonts w:ascii="Corbel" w:hAnsi="Corbel"/>
              <w:b w:val="0"/>
              <w:color w:val="D31145" w:themeColor="accent1"/>
            </w:rPr>
            <w:t>Contents</w:t>
          </w:r>
        </w:p>
        <w:p w:rsidR="00377D85">
          <w:pPr>
            <w:pStyle w:val="TOC2"/>
            <w:rPr>
              <w:rFonts w:asciiTheme="minorHAnsi" w:eastAsiaTheme="minorEastAsia" w:hAnsiTheme="minorHAnsi" w:cstheme="minorBidi"/>
              <w:color w:val="auto"/>
              <w:sz w:val="22"/>
              <w:szCs w:val="22"/>
              <w:lang w:eastAsia="en-GB"/>
            </w:rPr>
          </w:pPr>
          <w:r>
            <w:fldChar w:fldCharType="begin"/>
          </w:r>
          <w:r>
            <w:instrText xml:space="preserve"> TOC \o "1-3" \h \z \u </w:instrText>
          </w:r>
          <w:r>
            <w:fldChar w:fldCharType="separate"/>
          </w:r>
          <w:r>
            <w:fldChar w:fldCharType="begin"/>
          </w:r>
          <w:r>
            <w:instrText xml:space="preserve"> HYPERLINK \l "_Toc3817768" </w:instrText>
          </w:r>
          <w:r>
            <w:fldChar w:fldCharType="separate"/>
          </w:r>
          <w:r w:rsidRPr="00C12823">
            <w:rPr>
              <w:rStyle w:val="Hyperlink"/>
            </w:rPr>
            <w:t>Introduction</w:t>
          </w:r>
          <w:r>
            <w:rPr>
              <w:webHidden/>
            </w:rPr>
            <w:tab/>
          </w:r>
          <w:r>
            <w:rPr>
              <w:webHidden/>
            </w:rPr>
            <w:fldChar w:fldCharType="begin"/>
          </w:r>
          <w:r>
            <w:rPr>
              <w:webHidden/>
            </w:rPr>
            <w:instrText xml:space="preserve"> PAGEREF _Toc3817768 \h </w:instrText>
          </w:r>
          <w:r>
            <w:rPr>
              <w:webHidden/>
            </w:rPr>
            <w:fldChar w:fldCharType="separate"/>
          </w:r>
          <w:r>
            <w:rPr>
              <w:webHidden/>
            </w:rPr>
            <w:t>2</w:t>
          </w:r>
          <w:r>
            <w:rPr>
              <w:webHidden/>
            </w:rPr>
            <w:fldChar w:fldCharType="end"/>
          </w:r>
          <w:r>
            <w:fldChar w:fldCharType="end"/>
          </w:r>
        </w:p>
        <w:p w:rsidR="00377D85">
          <w:pPr>
            <w:pStyle w:val="TOC2"/>
            <w:rPr>
              <w:rFonts w:asciiTheme="minorHAnsi" w:eastAsiaTheme="minorEastAsia" w:hAnsiTheme="minorHAnsi" w:cstheme="minorBidi"/>
              <w:color w:val="auto"/>
              <w:sz w:val="22"/>
              <w:szCs w:val="22"/>
              <w:lang w:eastAsia="en-GB"/>
            </w:rPr>
          </w:pPr>
          <w:r>
            <w:fldChar w:fldCharType="begin"/>
          </w:r>
          <w:r>
            <w:instrText xml:space="preserve"> HYPERLINK \l "_Toc3817769" </w:instrText>
          </w:r>
          <w:r>
            <w:fldChar w:fldCharType="separate"/>
          </w:r>
          <w:r w:rsidRPr="00C12823">
            <w:rPr>
              <w:rStyle w:val="Hyperlink"/>
            </w:rPr>
            <w:t>Stakeholders that responded</w:t>
          </w:r>
          <w:r>
            <w:rPr>
              <w:webHidden/>
            </w:rPr>
            <w:tab/>
          </w:r>
          <w:r>
            <w:rPr>
              <w:webHidden/>
            </w:rPr>
            <w:fldChar w:fldCharType="begin"/>
          </w:r>
          <w:r>
            <w:rPr>
              <w:webHidden/>
            </w:rPr>
            <w:instrText xml:space="preserve"> PAGEREF _Toc3817769 \h </w:instrText>
          </w:r>
          <w:r>
            <w:rPr>
              <w:webHidden/>
            </w:rPr>
            <w:fldChar w:fldCharType="separate"/>
          </w:r>
          <w:r>
            <w:rPr>
              <w:webHidden/>
            </w:rPr>
            <w:t>2</w:t>
          </w:r>
          <w:r>
            <w:rPr>
              <w:webHidden/>
            </w:rPr>
            <w:fldChar w:fldCharType="end"/>
          </w:r>
          <w:r>
            <w:fldChar w:fldCharType="end"/>
          </w:r>
        </w:p>
        <w:p w:rsidR="00377D85">
          <w:pPr>
            <w:pStyle w:val="TOC2"/>
            <w:rPr>
              <w:rFonts w:asciiTheme="minorHAnsi" w:eastAsiaTheme="minorEastAsia" w:hAnsiTheme="minorHAnsi" w:cstheme="minorBidi"/>
              <w:color w:val="auto"/>
              <w:sz w:val="22"/>
              <w:szCs w:val="22"/>
              <w:lang w:eastAsia="en-GB"/>
            </w:rPr>
          </w:pPr>
          <w:r>
            <w:fldChar w:fldCharType="begin"/>
          </w:r>
          <w:r>
            <w:instrText xml:space="preserve"> HYPERLINK \l "_Toc3817770" </w:instrText>
          </w:r>
          <w:r>
            <w:fldChar w:fldCharType="separate"/>
          </w:r>
          <w:r w:rsidRPr="00C12823">
            <w:rPr>
              <w:rStyle w:val="Hyperlink"/>
            </w:rPr>
            <w:t>Responses to</w:t>
          </w:r>
          <w:r w:rsidRPr="00C12823">
            <w:rPr>
              <w:rStyle w:val="Hyperlink"/>
            </w:rPr>
            <w:t xml:space="preserve"> the Strategy's Vision and Key Aims</w:t>
          </w:r>
          <w:r>
            <w:rPr>
              <w:webHidden/>
            </w:rPr>
            <w:tab/>
          </w:r>
          <w:r>
            <w:rPr>
              <w:webHidden/>
            </w:rPr>
            <w:fldChar w:fldCharType="begin"/>
          </w:r>
          <w:r>
            <w:rPr>
              <w:webHidden/>
            </w:rPr>
            <w:instrText xml:space="preserve"> PAGEREF _Toc3817770 \h </w:instrText>
          </w:r>
          <w:r>
            <w:rPr>
              <w:webHidden/>
            </w:rPr>
            <w:fldChar w:fldCharType="separate"/>
          </w:r>
          <w:r>
            <w:rPr>
              <w:webHidden/>
            </w:rPr>
            <w:t>3</w:t>
          </w:r>
          <w:r>
            <w:rPr>
              <w:webHidden/>
            </w:rPr>
            <w:fldChar w:fldCharType="end"/>
          </w:r>
          <w:r>
            <w:fldChar w:fldCharType="end"/>
          </w:r>
        </w:p>
        <w:p w:rsidR="00377D85">
          <w:pPr>
            <w:pStyle w:val="TOC2"/>
            <w:rPr>
              <w:rFonts w:asciiTheme="minorHAnsi" w:eastAsiaTheme="minorEastAsia" w:hAnsiTheme="minorHAnsi" w:cstheme="minorBidi"/>
              <w:color w:val="auto"/>
              <w:sz w:val="22"/>
              <w:szCs w:val="22"/>
              <w:lang w:eastAsia="en-GB"/>
            </w:rPr>
          </w:pPr>
          <w:r>
            <w:fldChar w:fldCharType="begin"/>
          </w:r>
          <w:r>
            <w:instrText xml:space="preserve"> HYPERLINK \l "_Toc3817771" </w:instrText>
          </w:r>
          <w:r>
            <w:fldChar w:fldCharType="separate"/>
          </w:r>
          <w:r w:rsidRPr="00C12823">
            <w:rPr>
              <w:rStyle w:val="Hyperlink"/>
            </w:rPr>
            <w:t>Comments Received</w:t>
          </w:r>
          <w:r>
            <w:rPr>
              <w:webHidden/>
            </w:rPr>
            <w:tab/>
          </w:r>
          <w:r>
            <w:rPr>
              <w:webHidden/>
            </w:rPr>
            <w:fldChar w:fldCharType="begin"/>
          </w:r>
          <w:r>
            <w:rPr>
              <w:webHidden/>
            </w:rPr>
            <w:instrText xml:space="preserve"> PAGEREF _Toc3817771 \h </w:instrText>
          </w:r>
          <w:r>
            <w:rPr>
              <w:webHidden/>
            </w:rPr>
            <w:fldChar w:fldCharType="separate"/>
          </w:r>
          <w:r>
            <w:rPr>
              <w:webHidden/>
            </w:rPr>
            <w:t>5</w:t>
          </w:r>
          <w:r>
            <w:rPr>
              <w:webHidden/>
            </w:rPr>
            <w:fldChar w:fldCharType="end"/>
          </w:r>
          <w:r>
            <w:fldChar w:fldCharType="end"/>
          </w:r>
        </w:p>
        <w:p w:rsidR="00377D85">
          <w:pPr>
            <w:pStyle w:val="TOC3"/>
            <w:tabs>
              <w:tab w:val="right" w:leader="dot" w:pos="9016"/>
            </w:tabs>
            <w:rPr>
              <w:rFonts w:asciiTheme="minorHAnsi" w:eastAsiaTheme="minorEastAsia" w:hAnsiTheme="minorHAnsi" w:cstheme="minorBidi"/>
              <w:noProof/>
              <w:sz w:val="22"/>
              <w:szCs w:val="22"/>
              <w:lang w:eastAsia="en-GB"/>
            </w:rPr>
          </w:pPr>
          <w:r>
            <w:fldChar w:fldCharType="begin"/>
          </w:r>
          <w:r>
            <w:instrText xml:space="preserve"> HYPERLINK \l "_Toc3817772" </w:instrText>
          </w:r>
          <w:r>
            <w:fldChar w:fldCharType="separate"/>
          </w:r>
          <w:r w:rsidRPr="00C12823">
            <w:rPr>
              <w:rStyle w:val="Hyperlink"/>
              <w:noProof/>
            </w:rPr>
            <w:t>Top Ten Ranked Comments</w:t>
          </w:r>
          <w:r>
            <w:rPr>
              <w:noProof/>
              <w:webHidden/>
            </w:rPr>
            <w:tab/>
          </w:r>
          <w:r>
            <w:rPr>
              <w:noProof/>
              <w:webHidden/>
            </w:rPr>
            <w:fldChar w:fldCharType="begin"/>
          </w:r>
          <w:r>
            <w:rPr>
              <w:noProof/>
              <w:webHidden/>
            </w:rPr>
            <w:instrText xml:space="preserve"> PAGEREF _Toc3817772 \h </w:instrText>
          </w:r>
          <w:r>
            <w:rPr>
              <w:noProof/>
              <w:webHidden/>
            </w:rPr>
            <w:fldChar w:fldCharType="separate"/>
          </w:r>
          <w:r>
            <w:rPr>
              <w:noProof/>
              <w:webHidden/>
            </w:rPr>
            <w:t>6</w:t>
          </w:r>
          <w:r>
            <w:rPr>
              <w:noProof/>
              <w:webHidden/>
            </w:rPr>
            <w:fldChar w:fldCharType="end"/>
          </w:r>
          <w:r>
            <w:fldChar w:fldCharType="end"/>
          </w:r>
        </w:p>
        <w:p w:rsidR="00377D85">
          <w:pPr>
            <w:pStyle w:val="TOC3"/>
            <w:tabs>
              <w:tab w:val="right" w:leader="dot" w:pos="9016"/>
            </w:tabs>
            <w:rPr>
              <w:rFonts w:asciiTheme="minorHAnsi" w:eastAsiaTheme="minorEastAsia" w:hAnsiTheme="minorHAnsi" w:cstheme="minorBidi"/>
              <w:noProof/>
              <w:sz w:val="22"/>
              <w:szCs w:val="22"/>
              <w:lang w:eastAsia="en-GB"/>
            </w:rPr>
          </w:pPr>
          <w:r>
            <w:fldChar w:fldCharType="begin"/>
          </w:r>
          <w:r>
            <w:instrText xml:space="preserve"> HYPERLINK \l "_Toc3817773" </w:instrText>
          </w:r>
          <w:r>
            <w:fldChar w:fldCharType="separate"/>
          </w:r>
          <w:r w:rsidRPr="00C12823">
            <w:rPr>
              <w:rStyle w:val="Hyperlink"/>
              <w:noProof/>
            </w:rPr>
            <w:t>Other Comments Received</w:t>
          </w:r>
          <w:r>
            <w:rPr>
              <w:noProof/>
              <w:webHidden/>
            </w:rPr>
            <w:tab/>
          </w:r>
          <w:r>
            <w:rPr>
              <w:noProof/>
              <w:webHidden/>
            </w:rPr>
            <w:fldChar w:fldCharType="begin"/>
          </w:r>
          <w:r>
            <w:rPr>
              <w:noProof/>
              <w:webHidden/>
            </w:rPr>
            <w:instrText xml:space="preserve"> PAGEREF _Toc3817773 \h </w:instrText>
          </w:r>
          <w:r>
            <w:rPr>
              <w:noProof/>
              <w:webHidden/>
            </w:rPr>
            <w:fldChar w:fldCharType="separate"/>
          </w:r>
          <w:r>
            <w:rPr>
              <w:noProof/>
              <w:webHidden/>
            </w:rPr>
            <w:t>6</w:t>
          </w:r>
          <w:r>
            <w:rPr>
              <w:noProof/>
              <w:webHidden/>
            </w:rPr>
            <w:fldChar w:fldCharType="end"/>
          </w:r>
          <w:r>
            <w:fldChar w:fldCharType="end"/>
          </w:r>
        </w:p>
        <w:p w:rsidR="00377D85">
          <w:pPr>
            <w:pStyle w:val="TOC2"/>
            <w:rPr>
              <w:rFonts w:asciiTheme="minorHAnsi" w:eastAsiaTheme="minorEastAsia" w:hAnsiTheme="minorHAnsi" w:cstheme="minorBidi"/>
              <w:color w:val="auto"/>
              <w:sz w:val="22"/>
              <w:szCs w:val="22"/>
              <w:lang w:eastAsia="en-GB"/>
            </w:rPr>
          </w:pPr>
          <w:r>
            <w:fldChar w:fldCharType="begin"/>
          </w:r>
          <w:r>
            <w:instrText xml:space="preserve"> HYPERLINK \l "_Toc3817774" </w:instrText>
          </w:r>
          <w:r>
            <w:fldChar w:fldCharType="separate"/>
          </w:r>
          <w:r w:rsidRPr="00C12823">
            <w:rPr>
              <w:rStyle w:val="Hyperlink"/>
            </w:rPr>
            <w:t>Next Steps</w:t>
          </w:r>
          <w:r>
            <w:rPr>
              <w:webHidden/>
            </w:rPr>
            <w:tab/>
          </w:r>
          <w:r>
            <w:rPr>
              <w:webHidden/>
            </w:rPr>
            <w:fldChar w:fldCharType="begin"/>
          </w:r>
          <w:r>
            <w:rPr>
              <w:webHidden/>
            </w:rPr>
            <w:instrText xml:space="preserve"> PAGEREF _Toc3817774 \h </w:instrText>
          </w:r>
          <w:r>
            <w:rPr>
              <w:webHidden/>
            </w:rPr>
            <w:fldChar w:fldCharType="separate"/>
          </w:r>
          <w:r>
            <w:rPr>
              <w:webHidden/>
            </w:rPr>
            <w:t>7</w:t>
          </w:r>
          <w:r>
            <w:rPr>
              <w:webHidden/>
            </w:rPr>
            <w:fldChar w:fldCharType="end"/>
          </w:r>
          <w:r>
            <w:fldChar w:fldCharType="end"/>
          </w:r>
        </w:p>
        <w:p w:rsidR="00FE691A" w:rsidP="00425F81">
          <w:pPr>
            <w:spacing w:line="360" w:lineRule="auto"/>
          </w:pPr>
          <w:r>
            <w:rPr>
              <w:sz w:val="28"/>
            </w:rPr>
            <w:fldChar w:fldCharType="end"/>
          </w:r>
        </w:p>
      </w:sdtContent>
    </w:sdt>
    <w:p w:rsidR="00D26D4C" w:rsidP="00D80956">
      <w:pPr>
        <w:pStyle w:val="Heading2"/>
      </w:pPr>
      <w:r>
        <w:br w:type="page"/>
      </w:r>
    </w:p>
    <w:p w:rsidR="00D26D4C" w:rsidP="00D26D4C"/>
    <w:p w:rsidR="00A44838" w:rsidP="00D80956">
      <w:pPr>
        <w:pStyle w:val="Heading2"/>
      </w:pPr>
      <w:bookmarkStart w:id="2" w:name="_Toc3817768"/>
      <w:r>
        <w:t>Introduction</w:t>
      </w:r>
      <w:bookmarkEnd w:id="2"/>
    </w:p>
    <w:p w:rsidR="00942E8B" w:rsidRPr="009C4397" w:rsidP="00AB4C2F">
      <w:pPr>
        <w:pStyle w:val="CommentText"/>
        <w:jc w:val="both"/>
        <w:rPr>
          <w:sz w:val="26"/>
          <w:szCs w:val="26"/>
        </w:rPr>
      </w:pPr>
      <w:r w:rsidRPr="009C4397">
        <w:rPr>
          <w:sz w:val="26"/>
          <w:szCs w:val="26"/>
        </w:rPr>
        <w:t>On 13 September 2018</w:t>
      </w:r>
      <w:r>
        <w:rPr>
          <w:sz w:val="26"/>
          <w:szCs w:val="26"/>
        </w:rPr>
        <w:t>,</w:t>
      </w:r>
      <w:r w:rsidRPr="009C4397">
        <w:rPr>
          <w:sz w:val="26"/>
          <w:szCs w:val="26"/>
        </w:rPr>
        <w:t xml:space="preserve"> the </w:t>
      </w:r>
      <w:r>
        <w:rPr>
          <w:sz w:val="26"/>
          <w:szCs w:val="26"/>
        </w:rPr>
        <w:t>c</w:t>
      </w:r>
      <w:r w:rsidRPr="009C4397">
        <w:rPr>
          <w:sz w:val="26"/>
          <w:szCs w:val="26"/>
        </w:rPr>
        <w:t xml:space="preserve">ounty </w:t>
      </w:r>
      <w:r>
        <w:rPr>
          <w:sz w:val="26"/>
          <w:szCs w:val="26"/>
        </w:rPr>
        <w:t>c</w:t>
      </w:r>
      <w:r w:rsidRPr="009C4397">
        <w:rPr>
          <w:sz w:val="26"/>
          <w:szCs w:val="26"/>
        </w:rPr>
        <w:t xml:space="preserve">ouncil's Cabinet endorsed a draft Housing with </w:t>
      </w:r>
      <w:r>
        <w:rPr>
          <w:sz w:val="26"/>
          <w:szCs w:val="26"/>
        </w:rPr>
        <w:t>C</w:t>
      </w:r>
      <w:r w:rsidRPr="009C4397">
        <w:rPr>
          <w:sz w:val="26"/>
          <w:szCs w:val="26"/>
        </w:rPr>
        <w:t xml:space="preserve">are and Support Strategy 2018 – 2025 and approved undertaking </w:t>
      </w:r>
      <w:r>
        <w:rPr>
          <w:sz w:val="26"/>
          <w:szCs w:val="26"/>
        </w:rPr>
        <w:t xml:space="preserve">of </w:t>
      </w:r>
      <w:r w:rsidRPr="009C4397">
        <w:rPr>
          <w:sz w:val="26"/>
          <w:szCs w:val="26"/>
        </w:rPr>
        <w:t xml:space="preserve">consultation with key partners on the draft </w:t>
      </w:r>
      <w:r>
        <w:rPr>
          <w:sz w:val="26"/>
          <w:szCs w:val="26"/>
        </w:rPr>
        <w:t>S</w:t>
      </w:r>
      <w:r w:rsidRPr="009C4397">
        <w:rPr>
          <w:sz w:val="26"/>
          <w:szCs w:val="26"/>
        </w:rPr>
        <w:t>trategy.</w:t>
      </w:r>
    </w:p>
    <w:p w:rsidR="00AB4C2F" w:rsidRPr="009C4397" w:rsidP="00AB4C2F">
      <w:pPr>
        <w:jc w:val="both"/>
        <w:rPr>
          <w:sz w:val="26"/>
          <w:szCs w:val="26"/>
        </w:rPr>
      </w:pPr>
      <w:r w:rsidRPr="009C4397">
        <w:rPr>
          <w:sz w:val="26"/>
          <w:szCs w:val="26"/>
        </w:rPr>
        <w:t>The main purpose of the consultation was to seek feedback</w:t>
      </w:r>
      <w:r>
        <w:rPr>
          <w:sz w:val="26"/>
          <w:szCs w:val="26"/>
        </w:rPr>
        <w:t xml:space="preserve"> </w:t>
      </w:r>
      <w:r w:rsidRPr="009C4397">
        <w:rPr>
          <w:sz w:val="26"/>
          <w:szCs w:val="26"/>
        </w:rPr>
        <w:t xml:space="preserve">on how the </w:t>
      </w:r>
      <w:r>
        <w:rPr>
          <w:sz w:val="26"/>
          <w:szCs w:val="26"/>
        </w:rPr>
        <w:t>draft S</w:t>
      </w:r>
      <w:r w:rsidRPr="009C4397">
        <w:rPr>
          <w:sz w:val="26"/>
          <w:szCs w:val="26"/>
        </w:rPr>
        <w:t>trategy could be improved prior to it being finalised and implemented.</w:t>
      </w:r>
    </w:p>
    <w:p w:rsidR="00AB4C2F" w:rsidRPr="009C4397" w:rsidP="00F5274B">
      <w:pPr>
        <w:jc w:val="both"/>
        <w:rPr>
          <w:sz w:val="26"/>
          <w:szCs w:val="26"/>
        </w:rPr>
      </w:pPr>
      <w:r>
        <w:rPr>
          <w:sz w:val="26"/>
          <w:szCs w:val="26"/>
        </w:rPr>
        <w:t>A</w:t>
      </w:r>
      <w:r w:rsidRPr="009C4397">
        <w:rPr>
          <w:sz w:val="26"/>
          <w:szCs w:val="26"/>
        </w:rPr>
        <w:t xml:space="preserve"> public consultation ran from 28 November 2018 to 31 J</w:t>
      </w:r>
      <w:r w:rsidRPr="009C4397">
        <w:rPr>
          <w:sz w:val="26"/>
          <w:szCs w:val="26"/>
        </w:rPr>
        <w:t xml:space="preserve">anuary 2019 and was </w:t>
      </w:r>
      <w:r w:rsidRPr="00195217">
        <w:rPr>
          <w:sz w:val="26"/>
          <w:szCs w:val="26"/>
        </w:rPr>
        <w:t xml:space="preserve">undertaken via online questionnaire and easy read questionnaire.  </w:t>
      </w:r>
      <w:r w:rsidRPr="00195217">
        <w:rPr>
          <w:sz w:val="26"/>
          <w:szCs w:val="26"/>
        </w:rPr>
        <w:t xml:space="preserve">121 </w:t>
      </w:r>
      <w:r w:rsidRPr="00195217">
        <w:rPr>
          <w:sz w:val="26"/>
          <w:szCs w:val="26"/>
        </w:rPr>
        <w:t>responses were received</w:t>
      </w:r>
      <w:r w:rsidRPr="00195217">
        <w:rPr>
          <w:sz w:val="26"/>
          <w:szCs w:val="26"/>
        </w:rPr>
        <w:t>.</w:t>
      </w:r>
    </w:p>
    <w:p w:rsidR="00D350D0" w:rsidRPr="00D80956" w:rsidP="00D80956">
      <w:pPr>
        <w:pStyle w:val="Heading2"/>
      </w:pPr>
      <w:bookmarkStart w:id="3" w:name="_Toc3817769"/>
      <w:r>
        <w:t>Stakeholders that responded</w:t>
      </w:r>
      <w:bookmarkEnd w:id="3"/>
      <w:r>
        <w:t xml:space="preserve"> </w:t>
      </w:r>
    </w:p>
    <w:p w:rsidR="00164828" w:rsidP="00164828">
      <w:r>
        <w:rPr>
          <w:noProof/>
          <w:lang w:eastAsia="en-GB"/>
        </w:rPr>
        <w:drawing>
          <wp:inline distT="0" distB="0" distL="0" distR="0">
            <wp:extent cx="5731510" cy="3679825"/>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6480" w:rsidP="00164828"/>
    <w:p w:rsidR="00B46480" w:rsidP="008D7816">
      <w:pPr>
        <w:jc w:val="both"/>
      </w:pPr>
      <w:r>
        <w:t>N.B. The 21% categorised as 'others' were mainly f</w:t>
      </w:r>
      <w:r>
        <w:t>amily members, members of the pub</w:t>
      </w:r>
      <w:r>
        <w:t>lic or un</w:t>
      </w:r>
      <w:r>
        <w:t>specified</w:t>
      </w:r>
      <w:r>
        <w:t xml:space="preserve">.  </w:t>
      </w:r>
    </w:p>
    <w:p w:rsidR="00B46480" w:rsidP="00164828"/>
    <w:p w:rsidR="00B46480" w:rsidP="00164828"/>
    <w:p w:rsidR="00B46480" w:rsidP="00164828"/>
    <w:p w:rsidR="0099008A" w:rsidP="00D80956">
      <w:pPr>
        <w:pStyle w:val="Heading2"/>
      </w:pPr>
      <w:bookmarkStart w:id="4" w:name="_Toc3817770"/>
      <w:r>
        <w:t>R</w:t>
      </w:r>
      <w:r>
        <w:t>esponse</w:t>
      </w:r>
      <w:r>
        <w:t>s</w:t>
      </w:r>
      <w:r>
        <w:t xml:space="preserve"> </w:t>
      </w:r>
      <w:r>
        <w:t xml:space="preserve">to the </w:t>
      </w:r>
      <w:r>
        <w:t xml:space="preserve">Strategy's </w:t>
      </w:r>
      <w:r>
        <w:t>Vision and Key Aims</w:t>
      </w:r>
      <w:bookmarkEnd w:id="4"/>
    </w:p>
    <w:p w:rsidR="00164828" w:rsidRPr="00560B31" w:rsidP="00560B31">
      <w:pPr>
        <w:rPr>
          <w:b/>
          <w:sz w:val="26"/>
          <w:szCs w:val="26"/>
        </w:rPr>
      </w:pPr>
      <w:r w:rsidRPr="00560B31">
        <w:rPr>
          <w:b/>
          <w:sz w:val="26"/>
          <w:szCs w:val="26"/>
        </w:rPr>
        <w:t>How strongly do you agree or disagree that this is a suitable vision for the housing with care support strategy?</w:t>
      </w:r>
    </w:p>
    <w:p w:rsidR="00DF27C1" w:rsidRPr="00B8280F" w:rsidP="004D27B9"/>
    <w:p w:rsidR="00164828" w:rsidRPr="00164828" w:rsidP="008D7816">
      <w:pPr>
        <w:jc w:val="both"/>
      </w:pPr>
      <w:r>
        <w:t xml:space="preserve">81% of </w:t>
      </w:r>
      <w:r>
        <w:t xml:space="preserve">responders </w:t>
      </w:r>
      <w:r>
        <w:t xml:space="preserve">agree that </w:t>
      </w:r>
      <w:r>
        <w:t>it</w:t>
      </w:r>
      <w:r>
        <w:t xml:space="preserve"> is a suitable vision</w:t>
      </w:r>
      <w:r>
        <w:t>.</w:t>
      </w:r>
    </w:p>
    <w:p w:rsidR="00357543" w:rsidRPr="00357543" w:rsidP="00357543">
      <w:r>
        <w:rPr>
          <w:noProof/>
          <w:lang w:eastAsia="en-GB"/>
        </w:rPr>
        <w:drawing>
          <wp:inline distT="0" distB="0" distL="0" distR="0">
            <wp:extent cx="5905500" cy="10382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5563" w:rsidP="0099008A">
      <w:pPr>
        <w:pStyle w:val="Heading5"/>
        <w:rPr>
          <w:rFonts w:ascii="Corbel" w:hAnsi="Corbel"/>
          <w:color w:val="auto"/>
          <w:sz w:val="26"/>
        </w:rPr>
      </w:pPr>
    </w:p>
    <w:p w:rsidR="00740D0B" w:rsidRPr="00560B31" w:rsidP="00560B31">
      <w:pPr>
        <w:rPr>
          <w:b/>
          <w:sz w:val="26"/>
          <w:szCs w:val="26"/>
        </w:rPr>
      </w:pPr>
      <w:r w:rsidRPr="00560B31">
        <w:rPr>
          <w:b/>
          <w:sz w:val="26"/>
          <w:szCs w:val="26"/>
        </w:rPr>
        <w:t xml:space="preserve">For each of the following, how strongly do you agree or disagree that it </w:t>
      </w:r>
      <w:r w:rsidRPr="00560B31">
        <w:rPr>
          <w:b/>
          <w:sz w:val="26"/>
          <w:szCs w:val="26"/>
        </w:rPr>
        <w:t>should be a key aim of the strategy to deliver….</w:t>
      </w:r>
    </w:p>
    <w:p w:rsidR="00A778DC" w:rsidRPr="004D27B9" w:rsidP="008D7816">
      <w:pPr>
        <w:pStyle w:val="Heading4"/>
        <w:numPr>
          <w:ilvl w:val="0"/>
          <w:numId w:val="2"/>
        </w:numPr>
        <w:jc w:val="both"/>
        <w:rPr>
          <w:rFonts w:ascii="Corbel" w:hAnsi="Corbel"/>
          <w:b/>
          <w:sz w:val="26"/>
          <w:szCs w:val="26"/>
        </w:rPr>
      </w:pPr>
      <w:r w:rsidRPr="004D27B9">
        <w:rPr>
          <w:rFonts w:ascii="Corbel" w:hAnsi="Corbel"/>
          <w:b/>
          <w:sz w:val="26"/>
          <w:szCs w:val="26"/>
        </w:rPr>
        <w:t>At least one extra care scheme for older adults in each district by 2025 (totalling about 1,000 homes across Lancashire</w:t>
      </w:r>
      <w:r>
        <w:rPr>
          <w:rFonts w:ascii="Corbel" w:hAnsi="Corbel"/>
          <w:b/>
          <w:sz w:val="26"/>
          <w:szCs w:val="26"/>
        </w:rPr>
        <w:t>)</w:t>
      </w:r>
    </w:p>
    <w:p w:rsidR="00357543" w:rsidP="00357543"/>
    <w:p w:rsidR="00A44838" w:rsidP="00D26D4C">
      <w:r>
        <w:t>80% of respo</w:t>
      </w:r>
      <w:r>
        <w:t>nders agree that it should be a key aim of the strategy to deliver at least one extra care scheme for older adults in each district by 2025</w:t>
      </w:r>
      <w:r>
        <w:t>.</w:t>
      </w:r>
      <w:r>
        <w:rPr>
          <w:noProof/>
          <w:lang w:eastAsia="en-GB"/>
        </w:rPr>
        <w:drawing>
          <wp:inline distT="0" distB="0" distL="0" distR="0">
            <wp:extent cx="5905500" cy="15144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0744" w:rsidRPr="004D27B9" w:rsidP="008D7816">
      <w:pPr>
        <w:pStyle w:val="ListParagraph"/>
        <w:numPr>
          <w:ilvl w:val="0"/>
          <w:numId w:val="2"/>
        </w:numPr>
        <w:jc w:val="both"/>
        <w:rPr>
          <w:b/>
          <w:i/>
          <w:sz w:val="26"/>
          <w:szCs w:val="26"/>
        </w:rPr>
      </w:pPr>
      <w:r>
        <w:rPr>
          <w:b/>
          <w:i/>
          <w:sz w:val="26"/>
          <w:szCs w:val="26"/>
        </w:rPr>
        <w:t>An i</w:t>
      </w:r>
      <w:r w:rsidRPr="004D27B9">
        <w:rPr>
          <w:b/>
          <w:i/>
          <w:sz w:val="26"/>
          <w:szCs w:val="26"/>
        </w:rPr>
        <w:t>ncrease in the number of flat schemes for younger adults with disabilities and a reduction in number of shared</w:t>
      </w:r>
      <w:r w:rsidRPr="004D27B9">
        <w:rPr>
          <w:b/>
          <w:i/>
          <w:sz w:val="26"/>
          <w:szCs w:val="26"/>
        </w:rPr>
        <w:t xml:space="preserve"> houses</w:t>
      </w:r>
    </w:p>
    <w:p w:rsidR="00357543" w:rsidRPr="00357543" w:rsidP="008D7816">
      <w:pPr>
        <w:jc w:val="both"/>
      </w:pPr>
      <w:r>
        <w:t>69% of responders agree that it should be a key aim of the strategy to deliver an increase in the number of flat schemes for younger adults with disabilities and a reduction in number of shared houses</w:t>
      </w:r>
      <w:r>
        <w:t>. This aim is also the largest margin of respond</w:t>
      </w:r>
      <w:r>
        <w:t>ers</w:t>
      </w:r>
      <w:r>
        <w:t xml:space="preserve"> disagreeing</w:t>
      </w:r>
      <w:r>
        <w:t>.</w:t>
      </w:r>
    </w:p>
    <w:p w:rsidR="00A44838" w:rsidP="00D26D4C">
      <w:r>
        <w:rPr>
          <w:noProof/>
          <w:lang w:eastAsia="en-GB"/>
        </w:rPr>
        <w:drawing>
          <wp:inline distT="0" distB="0" distL="0" distR="0">
            <wp:extent cx="5819775" cy="1390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4838" w:rsidP="00D26D4C"/>
    <w:p w:rsidR="00785BCE" w:rsidRPr="004D27B9" w:rsidP="008D7816">
      <w:pPr>
        <w:pStyle w:val="ListParagraph"/>
        <w:numPr>
          <w:ilvl w:val="0"/>
          <w:numId w:val="2"/>
        </w:numPr>
        <w:jc w:val="both"/>
        <w:rPr>
          <w:b/>
          <w:i/>
          <w:sz w:val="26"/>
          <w:szCs w:val="26"/>
        </w:rPr>
      </w:pPr>
      <w:r w:rsidRPr="004D27B9">
        <w:rPr>
          <w:b/>
          <w:i/>
          <w:sz w:val="26"/>
          <w:szCs w:val="26"/>
        </w:rPr>
        <w:t>Improved housing with care and support options for people with complex needs and conditions</w:t>
      </w:r>
    </w:p>
    <w:p w:rsidR="00785BCE" w:rsidRPr="00785BCE" w:rsidP="008D7816">
      <w:pPr>
        <w:jc w:val="both"/>
      </w:pPr>
      <w:r>
        <w:t xml:space="preserve">73% of responders agree that it should be a key aim of the strategy to deliver improved housing with care and support options for people with </w:t>
      </w:r>
      <w:r>
        <w:t>complex needs and conditions</w:t>
      </w:r>
      <w:r>
        <w:t>.</w:t>
      </w:r>
    </w:p>
    <w:p w:rsidR="00D26D4C" w:rsidP="00D26D4C">
      <w:r>
        <w:rPr>
          <w:noProof/>
          <w:lang w:eastAsia="en-GB"/>
        </w:rPr>
        <w:drawing>
          <wp:inline distT="0" distB="0" distL="0" distR="0">
            <wp:extent cx="5962650" cy="11715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DF27C1" w:rsidP="004D27B9">
      <w:pPr>
        <w:pStyle w:val="ListParagraph"/>
        <w:rPr>
          <w:i/>
        </w:rPr>
      </w:pPr>
    </w:p>
    <w:p w:rsidR="00DF27C1" w:rsidRPr="004D27B9" w:rsidP="004D27B9">
      <w:pPr>
        <w:pStyle w:val="ListParagraph"/>
        <w:rPr>
          <w:b/>
          <w:i/>
          <w:sz w:val="26"/>
          <w:szCs w:val="26"/>
        </w:rPr>
      </w:pPr>
    </w:p>
    <w:p w:rsidR="00CB721D" w:rsidRPr="004D27B9" w:rsidP="004D27B9">
      <w:pPr>
        <w:pStyle w:val="ListParagraph"/>
        <w:numPr>
          <w:ilvl w:val="0"/>
          <w:numId w:val="2"/>
        </w:numPr>
        <w:rPr>
          <w:b/>
          <w:i/>
          <w:sz w:val="26"/>
          <w:szCs w:val="26"/>
        </w:rPr>
      </w:pPr>
      <w:r w:rsidRPr="004D27B9">
        <w:rPr>
          <w:b/>
          <w:i/>
          <w:sz w:val="26"/>
          <w:szCs w:val="26"/>
        </w:rPr>
        <w:t>A viable and genuine alternative to residential settings (a home for life)</w:t>
      </w:r>
    </w:p>
    <w:p w:rsidR="00785BCE" w:rsidP="008D7816">
      <w:pPr>
        <w:jc w:val="both"/>
      </w:pPr>
      <w:r>
        <w:t>85% of responders agree that it should be a key aim of the strategy to deliver a viable and genuine alternative to residential settings. This is th</w:t>
      </w:r>
      <w:r>
        <w:t xml:space="preserve">e biggest margin for strongly agreeing out of all of the key aims given. </w:t>
      </w:r>
      <w:r>
        <w:t xml:space="preserve">And the biggest response overall for agreement. </w:t>
      </w:r>
    </w:p>
    <w:p w:rsidR="00785BCE" w:rsidP="00CB721D">
      <w:r>
        <w:rPr>
          <w:noProof/>
          <w:lang w:eastAsia="en-GB"/>
        </w:rPr>
        <w:drawing>
          <wp:inline distT="0" distB="0" distL="0" distR="0">
            <wp:extent cx="6000750" cy="143827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450D" w:rsidRPr="004D27B9" w:rsidP="008D7816">
      <w:pPr>
        <w:pStyle w:val="ListParagraph"/>
        <w:numPr>
          <w:ilvl w:val="0"/>
          <w:numId w:val="2"/>
        </w:numPr>
        <w:jc w:val="both"/>
        <w:rPr>
          <w:b/>
          <w:i/>
          <w:sz w:val="26"/>
          <w:szCs w:val="26"/>
        </w:rPr>
      </w:pPr>
      <w:r w:rsidRPr="004D27B9">
        <w:rPr>
          <w:b/>
          <w:i/>
          <w:sz w:val="26"/>
          <w:szCs w:val="26"/>
        </w:rPr>
        <w:t xml:space="preserve">Ongoing care and support that delivers cost savings to the health and care system </w:t>
      </w:r>
    </w:p>
    <w:p w:rsidR="00785BCE" w:rsidP="008D7816">
      <w:pPr>
        <w:jc w:val="both"/>
      </w:pPr>
      <w:r>
        <w:t>73% of responders agree that it should be a key a</w:t>
      </w:r>
      <w:r>
        <w:t>im of the strategy to deliver ongoing care and support that delivers cost savings to the health and care system</w:t>
      </w:r>
      <w:r>
        <w:t>.</w:t>
      </w:r>
    </w:p>
    <w:p w:rsidR="0096450D" w:rsidP="0096450D">
      <w:r>
        <w:rPr>
          <w:noProof/>
          <w:lang w:eastAsia="en-GB"/>
        </w:rPr>
        <w:drawing>
          <wp:inline distT="0" distB="0" distL="0" distR="0">
            <wp:extent cx="6076950" cy="1219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618">
      <w:pPr>
        <w:rPr>
          <w:i/>
        </w:rPr>
      </w:pPr>
      <w:r>
        <w:rPr>
          <w:i/>
        </w:rPr>
        <w:br w:type="page"/>
      </w:r>
    </w:p>
    <w:p w:rsidR="00FD3E23" w:rsidRPr="004D27B9" w:rsidP="008D7816">
      <w:pPr>
        <w:pStyle w:val="ListParagraph"/>
        <w:numPr>
          <w:ilvl w:val="0"/>
          <w:numId w:val="2"/>
        </w:numPr>
        <w:jc w:val="both"/>
        <w:rPr>
          <w:b/>
          <w:i/>
          <w:sz w:val="26"/>
          <w:szCs w:val="26"/>
        </w:rPr>
      </w:pPr>
      <w:r>
        <w:rPr>
          <w:b/>
          <w:i/>
          <w:sz w:val="26"/>
          <w:szCs w:val="26"/>
        </w:rPr>
        <w:t>The i</w:t>
      </w:r>
      <w:r w:rsidRPr="004D27B9">
        <w:rPr>
          <w:b/>
          <w:i/>
          <w:sz w:val="26"/>
          <w:szCs w:val="26"/>
        </w:rPr>
        <w:t xml:space="preserve">ntegration of housing schemes within communities by offering facilities such as meeting rooms, cafes </w:t>
      </w:r>
      <w:r w:rsidRPr="004D27B9">
        <w:rPr>
          <w:b/>
          <w:i/>
          <w:sz w:val="26"/>
          <w:szCs w:val="26"/>
        </w:rPr>
        <w:t>etc</w:t>
      </w:r>
    </w:p>
    <w:p w:rsidR="007C7A2F" w:rsidP="008D7816">
      <w:pPr>
        <w:jc w:val="both"/>
      </w:pPr>
      <w:r>
        <w:t xml:space="preserve">82% of responders agree that it should be a key aim of the strategy to deliver the integration of housing schemes within communities by offering </w:t>
      </w:r>
      <w:r>
        <w:t>facilities</w:t>
      </w:r>
      <w:r>
        <w:t xml:space="preserve"> such as meeting rooms, cafes etc</w:t>
      </w:r>
      <w:r>
        <w:t xml:space="preserve">. </w:t>
      </w:r>
    </w:p>
    <w:p w:rsidR="00FD3E23" w:rsidP="00FD3E23">
      <w:r>
        <w:rPr>
          <w:noProof/>
          <w:lang w:eastAsia="en-GB"/>
        </w:rPr>
        <w:drawing>
          <wp:inline distT="0" distB="0" distL="0" distR="0">
            <wp:extent cx="5829300" cy="11239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B81" w:rsidRPr="004D27B9" w:rsidP="00FD3E23">
      <w:pPr>
        <w:rPr>
          <w:sz w:val="26"/>
          <w:szCs w:val="26"/>
        </w:rPr>
      </w:pPr>
    </w:p>
    <w:p w:rsidR="00FD3E23" w:rsidRPr="004D27B9" w:rsidP="008D7816">
      <w:pPr>
        <w:pStyle w:val="ListParagraph"/>
        <w:numPr>
          <w:ilvl w:val="0"/>
          <w:numId w:val="2"/>
        </w:numPr>
        <w:jc w:val="both"/>
        <w:rPr>
          <w:b/>
          <w:i/>
          <w:sz w:val="26"/>
          <w:szCs w:val="26"/>
        </w:rPr>
      </w:pPr>
      <w:r w:rsidRPr="004D27B9">
        <w:rPr>
          <w:b/>
          <w:i/>
          <w:sz w:val="26"/>
          <w:szCs w:val="26"/>
        </w:rPr>
        <w:t xml:space="preserve">Benefits to the wider housing market through regeneration and </w:t>
      </w:r>
      <w:r w:rsidRPr="004D27B9">
        <w:rPr>
          <w:b/>
          <w:i/>
          <w:sz w:val="26"/>
          <w:szCs w:val="26"/>
        </w:rPr>
        <w:t>the release of family housing</w:t>
      </w:r>
    </w:p>
    <w:p w:rsidR="00DF27C1" w:rsidP="008D7816">
      <w:pPr>
        <w:jc w:val="both"/>
      </w:pPr>
      <w:r>
        <w:t>69% of responders agree that it should be a key aim of the strategy to deliver benefits to the wider housing market through regeneration and the release of family housing. This has the smallest margin of the responders strongl</w:t>
      </w:r>
      <w:r>
        <w:t xml:space="preserve">y agreeing with this key aim. </w:t>
      </w:r>
    </w:p>
    <w:p w:rsidR="00FD3E23" w:rsidP="00FD3E23">
      <w:r>
        <w:rPr>
          <w:noProof/>
          <w:lang w:eastAsia="en-GB"/>
        </w:rPr>
        <w:drawing>
          <wp:inline distT="0" distB="0" distL="0" distR="0">
            <wp:extent cx="5876925" cy="11430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59DF" w:rsidP="00E459DF"/>
    <w:p w:rsidR="00E459DF" w:rsidRPr="004D27B9" w:rsidP="004D27B9">
      <w:pPr>
        <w:pStyle w:val="Heading2"/>
      </w:pPr>
      <w:bookmarkStart w:id="5" w:name="_Toc3817771"/>
      <w:r w:rsidRPr="00070F46">
        <w:t>C</w:t>
      </w:r>
      <w:r w:rsidRPr="00070F46">
        <w:t xml:space="preserve">omments </w:t>
      </w:r>
      <w:r w:rsidRPr="00070F46">
        <w:t>Received</w:t>
      </w:r>
      <w:bookmarkEnd w:id="5"/>
    </w:p>
    <w:p w:rsidR="00B8280F" w:rsidRPr="00E020D3" w:rsidP="008D7816">
      <w:pPr>
        <w:jc w:val="both"/>
      </w:pPr>
      <w:r w:rsidRPr="00B8280F">
        <w:t xml:space="preserve">Within the consultation, responders were invited to give their views and opinions </w:t>
      </w:r>
      <w:r>
        <w:t>in response to a number of questions</w:t>
      </w:r>
      <w:r w:rsidRPr="00B8280F">
        <w:t xml:space="preserve">.  </w:t>
      </w:r>
      <w:r>
        <w:t xml:space="preserve">It </w:t>
      </w:r>
      <w:r>
        <w:t>has been decided that the most appropriate approach to analysing the responses i</w:t>
      </w:r>
      <w:r>
        <w:t>s to bring</w:t>
      </w:r>
      <w:r>
        <w:t xml:space="preserve"> together</w:t>
      </w:r>
      <w:r>
        <w:t xml:space="preserve"> the responses from all questions and to group them within themes, as this avoids the duplication that would have occurred had we analysed the responses by question.  </w:t>
      </w:r>
      <w:r w:rsidRPr="00B8280F">
        <w:t xml:space="preserve">  </w:t>
      </w:r>
      <w:r>
        <w:t>This includes responses to the electronic questionnaire and emails a</w:t>
      </w:r>
      <w:r>
        <w:t>nd letters sent to the County Council</w:t>
      </w:r>
      <w:r>
        <w:t>.</w:t>
      </w:r>
    </w:p>
    <w:p w:rsidR="00560B31" w:rsidP="008D7816">
      <w:pPr>
        <w:jc w:val="both"/>
      </w:pPr>
      <w:r>
        <w:t xml:space="preserve">The comments listed below include those received in relation to </w:t>
      </w:r>
      <w:r>
        <w:t>H</w:t>
      </w:r>
      <w:r>
        <w:t xml:space="preserve">ousing with </w:t>
      </w:r>
      <w:r>
        <w:t>C</w:t>
      </w:r>
      <w:r>
        <w:t xml:space="preserve">are and </w:t>
      </w:r>
      <w:r>
        <w:t>S</w:t>
      </w:r>
      <w:r>
        <w:t xml:space="preserve">upport for both older </w:t>
      </w:r>
      <w:r>
        <w:t xml:space="preserve">adults </w:t>
      </w:r>
      <w:r>
        <w:t xml:space="preserve">and younger </w:t>
      </w:r>
      <w:r>
        <w:t>adults</w:t>
      </w:r>
      <w:r>
        <w:t xml:space="preserve"> with disabilities. The top ten ranked most common themes are shown in order.  Addi</w:t>
      </w:r>
      <w:r>
        <w:t xml:space="preserve">tional comments which are mentioned by fewer respondents are listed below in no particular order.   </w:t>
      </w:r>
    </w:p>
    <w:p w:rsidR="00560B31">
      <w:r>
        <w:br w:type="page"/>
      </w:r>
    </w:p>
    <w:p w:rsidR="00E05720" w:rsidP="008D7816">
      <w:pPr>
        <w:jc w:val="both"/>
      </w:pPr>
    </w:p>
    <w:p w:rsidR="00E05720" w:rsidRPr="00070F46" w:rsidP="008D7816">
      <w:pPr>
        <w:pStyle w:val="Heading3"/>
      </w:pPr>
      <w:bookmarkStart w:id="6" w:name="_Toc3817772"/>
      <w:r w:rsidRPr="00070F46">
        <w:t>Top Ten Ranked Comments</w:t>
      </w:r>
      <w:bookmarkEnd w:id="6"/>
    </w:p>
    <w:p w:rsidR="006A0490" w:rsidP="008D7816">
      <w:pPr>
        <w:pStyle w:val="ListParagraph"/>
        <w:numPr>
          <w:ilvl w:val="0"/>
          <w:numId w:val="4"/>
        </w:numPr>
        <w:jc w:val="both"/>
      </w:pPr>
      <w:r w:rsidRPr="004D27B9">
        <w:rPr>
          <w:b/>
        </w:rPr>
        <w:t>Partnership working:</w:t>
      </w:r>
      <w:r>
        <w:t xml:space="preserve">  </w:t>
      </w:r>
      <w:r w:rsidRPr="00017AF4">
        <w:t>The importance of partnership and integrated working, especially involv</w:t>
      </w:r>
      <w:r>
        <w:t xml:space="preserve">ing all partners within the </w:t>
      </w:r>
      <w:r w:rsidRPr="00017AF4">
        <w:t>deliver</w:t>
      </w:r>
      <w:r w:rsidRPr="00017AF4">
        <w:t xml:space="preserve">y of the strategy.   </w:t>
      </w:r>
    </w:p>
    <w:p w:rsidR="00F10FFC" w:rsidP="008D7816">
      <w:pPr>
        <w:pStyle w:val="ListParagraph"/>
        <w:numPr>
          <w:ilvl w:val="0"/>
          <w:numId w:val="4"/>
        </w:numPr>
        <w:jc w:val="both"/>
      </w:pPr>
      <w:r>
        <w:rPr>
          <w:b/>
        </w:rPr>
        <w:t>Social i</w:t>
      </w:r>
      <w:r w:rsidRPr="004D27B9">
        <w:rPr>
          <w:b/>
        </w:rPr>
        <w:t>solation:</w:t>
      </w:r>
      <w:r>
        <w:t xml:space="preserve">  </w:t>
      </w:r>
      <w:r>
        <w:t>Increased social isolation of young</w:t>
      </w:r>
      <w:r>
        <w:t>er</w:t>
      </w:r>
      <w:r>
        <w:t xml:space="preserve"> adults in flat schemes</w:t>
      </w:r>
      <w:r>
        <w:t xml:space="preserve">.  </w:t>
      </w:r>
      <w:r w:rsidRPr="00F10FFC">
        <w:t xml:space="preserve">Concern that younger adults living in a larger shared setting can lead to social isolation and may feel like a congregated setting which historically </w:t>
      </w:r>
      <w:r w:rsidRPr="00F10FFC">
        <w:t>has been an issue.</w:t>
      </w:r>
      <w:r>
        <w:t xml:space="preserve">  </w:t>
      </w:r>
    </w:p>
    <w:p w:rsidR="00F10FFC" w:rsidRPr="008D7816" w:rsidP="008D7816">
      <w:pPr>
        <w:pStyle w:val="ListParagraph"/>
        <w:numPr>
          <w:ilvl w:val="0"/>
          <w:numId w:val="4"/>
        </w:numPr>
        <w:jc w:val="both"/>
      </w:pPr>
      <w:r w:rsidRPr="008D7816">
        <w:rPr>
          <w:b/>
        </w:rPr>
        <w:t xml:space="preserve">Choice and </w:t>
      </w:r>
      <w:r>
        <w:rPr>
          <w:b/>
        </w:rPr>
        <w:t>c</w:t>
      </w:r>
      <w:r w:rsidRPr="008D7816">
        <w:rPr>
          <w:b/>
        </w:rPr>
        <w:t xml:space="preserve">ontrol:  </w:t>
      </w:r>
      <w:r w:rsidRPr="008D7816">
        <w:t xml:space="preserve">Ensuring choice and control for </w:t>
      </w:r>
      <w:r>
        <w:t>s</w:t>
      </w:r>
      <w:r w:rsidRPr="008D7816">
        <w:t xml:space="preserve">ervice </w:t>
      </w:r>
      <w:r>
        <w:t>u</w:t>
      </w:r>
      <w:r w:rsidRPr="008D7816">
        <w:t>sers and the importance of being person-centred</w:t>
      </w:r>
      <w:r w:rsidRPr="008D7816">
        <w:t xml:space="preserve"> i.e. c</w:t>
      </w:r>
      <w:r w:rsidRPr="008D7816">
        <w:t>ontrol and engagement at an individual level when discussing needs and outcomes</w:t>
      </w:r>
      <w:r>
        <w:t>.</w:t>
      </w:r>
      <w:r w:rsidRPr="008D7816">
        <w:t xml:space="preserve"> </w:t>
      </w:r>
    </w:p>
    <w:p w:rsidR="002B49E6" w:rsidRPr="008D7816" w:rsidP="008D7816">
      <w:pPr>
        <w:pStyle w:val="ListParagraph"/>
        <w:numPr>
          <w:ilvl w:val="0"/>
          <w:numId w:val="4"/>
        </w:numPr>
        <w:jc w:val="both"/>
      </w:pPr>
      <w:r w:rsidRPr="008D7816">
        <w:rPr>
          <w:b/>
        </w:rPr>
        <w:t xml:space="preserve">Engaging </w:t>
      </w:r>
      <w:r>
        <w:rPr>
          <w:b/>
        </w:rPr>
        <w:t>s</w:t>
      </w:r>
      <w:r w:rsidRPr="008D7816">
        <w:rPr>
          <w:b/>
        </w:rPr>
        <w:t xml:space="preserve">ervice </w:t>
      </w:r>
      <w:r>
        <w:rPr>
          <w:b/>
        </w:rPr>
        <w:t>u</w:t>
      </w:r>
      <w:r w:rsidRPr="008D7816">
        <w:rPr>
          <w:b/>
        </w:rPr>
        <w:t xml:space="preserve">sers, </w:t>
      </w:r>
      <w:r>
        <w:rPr>
          <w:b/>
        </w:rPr>
        <w:t>c</w:t>
      </w:r>
      <w:r w:rsidRPr="008D7816">
        <w:rPr>
          <w:b/>
        </w:rPr>
        <w:t xml:space="preserve">arers and </w:t>
      </w:r>
      <w:r>
        <w:rPr>
          <w:b/>
        </w:rPr>
        <w:t>c</w:t>
      </w:r>
      <w:r w:rsidRPr="008D7816">
        <w:rPr>
          <w:b/>
        </w:rPr>
        <w:t>o</w:t>
      </w:r>
      <w:r w:rsidRPr="008D7816">
        <w:rPr>
          <w:b/>
        </w:rPr>
        <w:t>mmunities</w:t>
      </w:r>
      <w:r>
        <w:rPr>
          <w:b/>
        </w:rPr>
        <w:t xml:space="preserve">: </w:t>
      </w:r>
      <w:r w:rsidRPr="008D7816">
        <w:t xml:space="preserve">Managing the change from </w:t>
      </w:r>
      <w:r>
        <w:t>s</w:t>
      </w:r>
      <w:r w:rsidRPr="008D7816">
        <w:t xml:space="preserve">hared houses to flat schemes </w:t>
      </w:r>
      <w:r>
        <w:t xml:space="preserve">for younger adults </w:t>
      </w:r>
      <w:r w:rsidRPr="008D7816">
        <w:t>needs to fully involve individuals</w:t>
      </w:r>
      <w:r w:rsidRPr="008D7816">
        <w:t>,</w:t>
      </w:r>
      <w:r w:rsidRPr="008D7816">
        <w:t xml:space="preserve"> their families and support providers.  </w:t>
      </w:r>
    </w:p>
    <w:p w:rsidR="00F10FFC" w:rsidRPr="004D27B9" w:rsidP="008D7816">
      <w:pPr>
        <w:pStyle w:val="ListParagraph"/>
        <w:numPr>
          <w:ilvl w:val="0"/>
          <w:numId w:val="4"/>
        </w:numPr>
        <w:jc w:val="both"/>
      </w:pPr>
      <w:r w:rsidRPr="004D27B9">
        <w:rPr>
          <w:b/>
        </w:rPr>
        <w:t>Range of options</w:t>
      </w:r>
      <w:r>
        <w:t xml:space="preserve">: </w:t>
      </w:r>
      <w:r w:rsidRPr="002B49E6">
        <w:t>Importance of other options</w:t>
      </w:r>
      <w:r w:rsidRPr="002B49E6">
        <w:t>:  e</w:t>
      </w:r>
      <w:r w:rsidRPr="004D27B9">
        <w:t>nsuring there is a range of accommodation opti</w:t>
      </w:r>
      <w:r w:rsidRPr="004D27B9">
        <w:t xml:space="preserve">ons available for </w:t>
      </w:r>
      <w:r w:rsidRPr="004D27B9">
        <w:t xml:space="preserve">both older </w:t>
      </w:r>
      <w:r>
        <w:t>adults</w:t>
      </w:r>
      <w:r w:rsidRPr="004D27B9">
        <w:t xml:space="preserve"> and </w:t>
      </w:r>
      <w:r w:rsidRPr="004D27B9">
        <w:t>younger adults</w:t>
      </w:r>
      <w:r w:rsidRPr="004D27B9">
        <w:t xml:space="preserve"> </w:t>
      </w:r>
      <w:r w:rsidRPr="002B49E6">
        <w:t>e</w:t>
      </w:r>
      <w:r>
        <w:t>.</w:t>
      </w:r>
      <w:r w:rsidRPr="002B49E6">
        <w:t xml:space="preserve">g. </w:t>
      </w:r>
      <w:r>
        <w:t>r</w:t>
      </w:r>
      <w:r w:rsidRPr="002B49E6">
        <w:t xml:space="preserve">esidential care, group supported living and ordinary housing with home care support.    </w:t>
      </w:r>
    </w:p>
    <w:p w:rsidR="006A0490" w:rsidP="008D7816">
      <w:pPr>
        <w:pStyle w:val="ListParagraph"/>
        <w:numPr>
          <w:ilvl w:val="0"/>
          <w:numId w:val="4"/>
        </w:numPr>
        <w:jc w:val="both"/>
      </w:pPr>
      <w:r w:rsidRPr="004D27B9">
        <w:rPr>
          <w:b/>
        </w:rPr>
        <w:t>Size of flat schemes</w:t>
      </w:r>
      <w:r>
        <w:rPr>
          <w:b/>
        </w:rPr>
        <w:t>:</w:t>
      </w:r>
      <w:r w:rsidRPr="004D27B9">
        <w:rPr>
          <w:b/>
        </w:rPr>
        <w:t xml:space="preserve"> </w:t>
      </w:r>
      <w:r>
        <w:t xml:space="preserve">Concerns that flat schemes will be too large and be a congregated </w:t>
      </w:r>
      <w:r>
        <w:t>setting/institution based</w:t>
      </w:r>
      <w:r>
        <w:t>.</w:t>
      </w:r>
    </w:p>
    <w:p w:rsidR="006A0490" w:rsidP="008D7816">
      <w:pPr>
        <w:pStyle w:val="ListParagraph"/>
        <w:numPr>
          <w:ilvl w:val="0"/>
          <w:numId w:val="4"/>
        </w:numPr>
        <w:jc w:val="both"/>
      </w:pPr>
      <w:r w:rsidRPr="004D27B9">
        <w:rPr>
          <w:b/>
        </w:rPr>
        <w:t>Voids:</w:t>
      </w:r>
      <w:r>
        <w:t xml:space="preserve"> </w:t>
      </w:r>
      <w:r>
        <w:t>I</w:t>
      </w:r>
      <w:r>
        <w:t>ssues with voids needs to be resolved</w:t>
      </w:r>
      <w:r>
        <w:t>.</w:t>
      </w:r>
    </w:p>
    <w:p w:rsidR="006A0490" w:rsidP="008D7816">
      <w:pPr>
        <w:pStyle w:val="ListParagraph"/>
        <w:numPr>
          <w:ilvl w:val="0"/>
          <w:numId w:val="4"/>
        </w:numPr>
        <w:jc w:val="both"/>
      </w:pPr>
      <w:r w:rsidRPr="004D27B9">
        <w:rPr>
          <w:b/>
        </w:rPr>
        <w:t>Location:</w:t>
      </w:r>
      <w:r>
        <w:t xml:space="preserve"> Importance of the right location</w:t>
      </w:r>
      <w:r>
        <w:t xml:space="preserve"> of schemes</w:t>
      </w:r>
      <w:r>
        <w:t>.</w:t>
      </w:r>
    </w:p>
    <w:p w:rsidR="00354BF4" w:rsidRPr="00354BF4" w:rsidP="008D7816">
      <w:pPr>
        <w:pStyle w:val="ListParagraph"/>
        <w:numPr>
          <w:ilvl w:val="0"/>
          <w:numId w:val="4"/>
        </w:numPr>
        <w:jc w:val="both"/>
      </w:pPr>
      <w:r w:rsidRPr="004D27B9">
        <w:rPr>
          <w:b/>
        </w:rPr>
        <w:t>People seeing this as cost cutting exercise</w:t>
      </w:r>
      <w:r>
        <w:t>:</w:t>
      </w:r>
      <w:r>
        <w:t xml:space="preserve">   </w:t>
      </w:r>
      <w:r w:rsidRPr="00354BF4">
        <w:t>There is a need to assure the public that new arrangements are valued not just i</w:t>
      </w:r>
      <w:r w:rsidRPr="00354BF4">
        <w:t>n financial terms and are not a 'cost cutting exercise'.</w:t>
      </w:r>
    </w:p>
    <w:p w:rsidR="00354BF4" w:rsidRPr="00354BF4" w:rsidP="008D7816">
      <w:pPr>
        <w:pStyle w:val="ListParagraph"/>
        <w:numPr>
          <w:ilvl w:val="0"/>
          <w:numId w:val="4"/>
        </w:numPr>
        <w:jc w:val="both"/>
      </w:pPr>
      <w:r w:rsidRPr="004D27B9">
        <w:rPr>
          <w:b/>
        </w:rPr>
        <w:t xml:space="preserve">Technology: </w:t>
      </w:r>
      <w:r>
        <w:t>Greater use of technology</w:t>
      </w:r>
      <w:r>
        <w:t>.</w:t>
      </w:r>
      <w:r>
        <w:t xml:space="preserve">  </w:t>
      </w:r>
      <w:r w:rsidRPr="00354BF4">
        <w:t>An opportunity to consider new ways of meeting need informed by best practice e.g. health promotion, technology enabled care increased use</w:t>
      </w:r>
      <w:r>
        <w:t>.</w:t>
      </w:r>
      <w:r w:rsidRPr="00354BF4">
        <w:t xml:space="preserve"> </w:t>
      </w:r>
    </w:p>
    <w:p w:rsidR="006A0490" w:rsidP="006A0490">
      <w:pPr>
        <w:pStyle w:val="ListParagraph"/>
      </w:pPr>
    </w:p>
    <w:p w:rsidR="00E05720" w:rsidRPr="008D7816" w:rsidP="00195217">
      <w:pPr>
        <w:pStyle w:val="Heading3"/>
      </w:pPr>
      <w:bookmarkStart w:id="7" w:name="_Toc3817773"/>
      <w:r w:rsidRPr="008D7816">
        <w:t xml:space="preserve">Other </w:t>
      </w:r>
      <w:r>
        <w:t>Comments</w:t>
      </w:r>
      <w:r w:rsidRPr="008D7816">
        <w:t xml:space="preserve"> Received</w:t>
      </w:r>
      <w:bookmarkEnd w:id="7"/>
      <w:r w:rsidRPr="008D7816">
        <w:t xml:space="preserve"> </w:t>
      </w:r>
    </w:p>
    <w:p w:rsidR="00F10FFC" w:rsidRPr="008D7816" w:rsidP="008D7816">
      <w:pPr>
        <w:jc w:val="both"/>
        <w:rPr>
          <w:b/>
        </w:rPr>
      </w:pPr>
      <w:r>
        <w:t>Additional comments are listed below in no particular order</w:t>
      </w:r>
      <w:r w:rsidRPr="008D7816">
        <w:rPr>
          <w:b/>
        </w:rPr>
        <w:t>:</w:t>
      </w:r>
    </w:p>
    <w:p w:rsidR="00DF27C1" w:rsidP="008D7816">
      <w:pPr>
        <w:tabs>
          <w:tab w:val="left" w:pos="426"/>
        </w:tabs>
        <w:jc w:val="both"/>
        <w:rPr>
          <w:b/>
        </w:rPr>
      </w:pPr>
      <w:r w:rsidRPr="008D7816">
        <w:tab/>
      </w:r>
      <w:r w:rsidRPr="008D7816">
        <w:rPr>
          <w:b/>
        </w:rPr>
        <w:t>General</w:t>
      </w:r>
    </w:p>
    <w:p w:rsidR="00DF27C1" w:rsidP="008D7816">
      <w:pPr>
        <w:pStyle w:val="ListParagraph"/>
        <w:numPr>
          <w:ilvl w:val="0"/>
          <w:numId w:val="25"/>
        </w:numPr>
        <w:jc w:val="both"/>
      </w:pPr>
      <w:r w:rsidRPr="00986CA1">
        <w:t xml:space="preserve">The importance of needs </w:t>
      </w:r>
      <w:r>
        <w:t>analysis</w:t>
      </w:r>
      <w:r w:rsidRPr="00986CA1">
        <w:t xml:space="preserve"> including an evidenced based approach to planning and delivery to ensure individual outcomes are achieved alongside the strategic aims</w:t>
      </w:r>
      <w:r>
        <w:t>.</w:t>
      </w:r>
    </w:p>
    <w:p w:rsidR="00DF27C1" w:rsidRPr="00DF27C1" w:rsidP="008D7816">
      <w:pPr>
        <w:pStyle w:val="ListParagraph"/>
        <w:numPr>
          <w:ilvl w:val="0"/>
          <w:numId w:val="25"/>
        </w:numPr>
        <w:jc w:val="both"/>
      </w:pPr>
      <w:r w:rsidRPr="00DF27C1">
        <w:t>Commen</w:t>
      </w:r>
      <w:r w:rsidRPr="00DF27C1">
        <w:t>ts regarding lengthy procurement processes</w:t>
      </w:r>
      <w:r>
        <w:t>.</w:t>
      </w:r>
      <w:r w:rsidRPr="00DF27C1">
        <w:t xml:space="preserve"> </w:t>
      </w:r>
    </w:p>
    <w:p w:rsidR="00354BF4" w:rsidRPr="00DF27C1" w:rsidP="008D7816">
      <w:pPr>
        <w:pStyle w:val="ListParagraph"/>
        <w:numPr>
          <w:ilvl w:val="0"/>
          <w:numId w:val="25"/>
        </w:numPr>
        <w:jc w:val="both"/>
      </w:pPr>
      <w:r w:rsidRPr="00DF27C1">
        <w:t>Measuring progress and performance in relation to accommodation and care</w:t>
      </w:r>
      <w:r>
        <w:t>.</w:t>
      </w:r>
    </w:p>
    <w:p w:rsidR="002B49E6" w:rsidRPr="00DF27C1" w:rsidP="008D7816">
      <w:pPr>
        <w:pStyle w:val="ListParagraph"/>
        <w:numPr>
          <w:ilvl w:val="0"/>
          <w:numId w:val="25"/>
        </w:numPr>
        <w:jc w:val="both"/>
      </w:pPr>
      <w:r w:rsidRPr="00DF27C1">
        <w:t>Anxiety about the approach to implementation</w:t>
      </w:r>
      <w:r>
        <w:t>.</w:t>
      </w:r>
      <w:r w:rsidRPr="00DF27C1">
        <w:t xml:space="preserve"> </w:t>
      </w:r>
    </w:p>
    <w:p w:rsidR="002B49E6" w:rsidRPr="00DF27C1" w:rsidP="008D7816">
      <w:pPr>
        <w:pStyle w:val="ListParagraph"/>
        <w:numPr>
          <w:ilvl w:val="0"/>
          <w:numId w:val="25"/>
        </w:numPr>
        <w:jc w:val="both"/>
      </w:pPr>
      <w:r w:rsidRPr="00DF27C1">
        <w:t xml:space="preserve">The need to be more ambitious in our approach to implementation </w:t>
      </w:r>
      <w:r>
        <w:t xml:space="preserve">and scale. </w:t>
      </w:r>
    </w:p>
    <w:p w:rsidR="00560B31">
      <w:pPr>
        <w:rPr>
          <w:b/>
        </w:rPr>
      </w:pPr>
      <w:r>
        <w:rPr>
          <w:b/>
        </w:rPr>
        <w:br w:type="page"/>
      </w:r>
    </w:p>
    <w:p w:rsidR="00017AF4" w:rsidRPr="008D7816" w:rsidP="008D7816">
      <w:pPr>
        <w:ind w:left="284"/>
        <w:jc w:val="both"/>
        <w:rPr>
          <w:b/>
        </w:rPr>
      </w:pPr>
      <w:r w:rsidRPr="008D7816">
        <w:rPr>
          <w:b/>
        </w:rPr>
        <w:t>Accommodation</w:t>
      </w:r>
    </w:p>
    <w:p w:rsidR="009A7BC1" w:rsidP="008D7816">
      <w:pPr>
        <w:pStyle w:val="ListParagraph"/>
        <w:numPr>
          <w:ilvl w:val="0"/>
          <w:numId w:val="8"/>
        </w:numPr>
        <w:jc w:val="both"/>
      </w:pPr>
      <w:r>
        <w:t xml:space="preserve">Accommodation </w:t>
      </w:r>
      <w:r>
        <w:t xml:space="preserve">and design </w:t>
      </w:r>
      <w:r>
        <w:t>standards including the ability to address specific issues e.g. noise, lighting</w:t>
      </w:r>
      <w:r>
        <w:t>.</w:t>
      </w:r>
    </w:p>
    <w:p w:rsidR="00F740EB" w:rsidP="008D7816">
      <w:pPr>
        <w:pStyle w:val="ListParagraph"/>
        <w:numPr>
          <w:ilvl w:val="0"/>
          <w:numId w:val="8"/>
        </w:numPr>
        <w:jc w:val="both"/>
      </w:pPr>
      <w:r>
        <w:t>The need for a</w:t>
      </w:r>
      <w:r>
        <w:t>ffordable rents.</w:t>
      </w:r>
    </w:p>
    <w:p w:rsidR="00354BF4" w:rsidP="008D7816">
      <w:pPr>
        <w:pStyle w:val="ListParagraph"/>
        <w:jc w:val="both"/>
      </w:pPr>
    </w:p>
    <w:p w:rsidR="00354BF4" w:rsidP="008D7816">
      <w:pPr>
        <w:pStyle w:val="ListParagraph"/>
        <w:ind w:left="284"/>
        <w:jc w:val="both"/>
        <w:rPr>
          <w:b/>
        </w:rPr>
      </w:pPr>
      <w:r w:rsidRPr="008D7816">
        <w:rPr>
          <w:b/>
        </w:rPr>
        <w:t>Community Assets</w:t>
      </w:r>
    </w:p>
    <w:p w:rsidR="00354BF4" w:rsidRPr="008D7816" w:rsidP="008D7816">
      <w:pPr>
        <w:pStyle w:val="ListParagraph"/>
        <w:ind w:hanging="294"/>
        <w:jc w:val="both"/>
        <w:rPr>
          <w:b/>
        </w:rPr>
      </w:pPr>
      <w:r w:rsidRPr="00354BF4">
        <w:rPr>
          <w:b/>
        </w:rPr>
        <w:t>•</w:t>
      </w:r>
      <w:r w:rsidRPr="008D7816">
        <w:tab/>
      </w:r>
      <w:r>
        <w:t>C</w:t>
      </w:r>
      <w:r w:rsidRPr="008D7816">
        <w:t xml:space="preserve">ommunity </w:t>
      </w:r>
      <w:r>
        <w:t xml:space="preserve">facilities </w:t>
      </w:r>
      <w:r w:rsidRPr="008D7816">
        <w:t xml:space="preserve">within developments </w:t>
      </w:r>
      <w:r>
        <w:t>of flat schemes for younger adults could inc</w:t>
      </w:r>
      <w:r>
        <w:t xml:space="preserve">rease </w:t>
      </w:r>
      <w:r w:rsidRPr="008D7816">
        <w:t>the risk to vulnerable people</w:t>
      </w:r>
      <w:r>
        <w:t>.</w:t>
      </w:r>
    </w:p>
    <w:p w:rsidR="00354BF4" w:rsidP="008D7816">
      <w:pPr>
        <w:pStyle w:val="ListParagraph"/>
        <w:jc w:val="both"/>
        <w:rPr>
          <w:b/>
        </w:rPr>
      </w:pPr>
    </w:p>
    <w:p w:rsidR="00017AF4" w:rsidP="008D7816">
      <w:pPr>
        <w:pStyle w:val="ListParagraph"/>
        <w:ind w:left="284"/>
        <w:jc w:val="both"/>
        <w:rPr>
          <w:b/>
        </w:rPr>
      </w:pPr>
      <w:r w:rsidRPr="008D7816">
        <w:rPr>
          <w:b/>
        </w:rPr>
        <w:t>Support</w:t>
      </w:r>
    </w:p>
    <w:p w:rsidR="00354BF4" w:rsidRPr="008D7816" w:rsidP="008D7816">
      <w:pPr>
        <w:pStyle w:val="ListParagraph"/>
        <w:ind w:hanging="436"/>
        <w:jc w:val="both"/>
        <w:rPr>
          <w:b/>
        </w:rPr>
      </w:pPr>
      <w:r w:rsidRPr="00354BF4">
        <w:rPr>
          <w:b/>
        </w:rPr>
        <w:t>•</w:t>
      </w:r>
      <w:r w:rsidRPr="00354BF4">
        <w:rPr>
          <w:b/>
        </w:rPr>
        <w:tab/>
      </w:r>
      <w:r w:rsidRPr="008D7816">
        <w:t>Some specific comments were made to ensure planning takes account of the specific needs of people e.g. those with dementia, autism, profound intellectual multiple disabilities</w:t>
      </w:r>
      <w:r>
        <w:t xml:space="preserve"> (PIMD)</w:t>
      </w:r>
      <w:r w:rsidRPr="008D7816">
        <w:t>, sensory impairments</w:t>
      </w:r>
      <w:r>
        <w:t>.</w:t>
      </w:r>
    </w:p>
    <w:p w:rsidR="009A7BC1" w:rsidP="008D7816">
      <w:pPr>
        <w:pStyle w:val="ListParagraph"/>
        <w:numPr>
          <w:ilvl w:val="1"/>
          <w:numId w:val="20"/>
        </w:numPr>
        <w:ind w:left="709" w:hanging="425"/>
        <w:jc w:val="both"/>
      </w:pPr>
      <w:r>
        <w:t>The</w:t>
      </w:r>
      <w:r>
        <w:t xml:space="preserve"> importance of good care and support to address the risk of social isol</w:t>
      </w:r>
      <w:r>
        <w:t>ation and other identified needs.</w:t>
      </w:r>
    </w:p>
    <w:p w:rsidR="00F740EB" w:rsidP="008D7816">
      <w:pPr>
        <w:pStyle w:val="ListParagraph"/>
        <w:numPr>
          <w:ilvl w:val="0"/>
          <w:numId w:val="10"/>
        </w:numPr>
        <w:jc w:val="both"/>
      </w:pPr>
      <w:r>
        <w:t>Too much emphasis on the built environment and not enough on models of support and achieving outcomes</w:t>
      </w:r>
      <w:r>
        <w:t>.</w:t>
      </w:r>
    </w:p>
    <w:p w:rsidR="00F740EB" w:rsidP="008D7816">
      <w:pPr>
        <w:pStyle w:val="ListParagraph"/>
        <w:numPr>
          <w:ilvl w:val="0"/>
          <w:numId w:val="10"/>
        </w:numPr>
        <w:jc w:val="both"/>
      </w:pPr>
      <w:r>
        <w:t>Utilising informal supports and new ways of work</w:t>
      </w:r>
      <w:r>
        <w:t xml:space="preserve">ing </w:t>
      </w:r>
      <w:r>
        <w:t xml:space="preserve">with </w:t>
      </w:r>
      <w:r>
        <w:t>positive examples provided</w:t>
      </w:r>
      <w:r>
        <w:t>.</w:t>
      </w:r>
      <w:r>
        <w:t xml:space="preserve"> </w:t>
      </w:r>
    </w:p>
    <w:p w:rsidR="007651F2" w:rsidP="007651F2"/>
    <w:p w:rsidR="00E459DF" w:rsidP="00D80956">
      <w:pPr>
        <w:pStyle w:val="Heading2"/>
      </w:pPr>
      <w:bookmarkStart w:id="8" w:name="_Toc3817774"/>
      <w:r>
        <w:t>Next Steps</w:t>
      </w:r>
      <w:bookmarkEnd w:id="8"/>
      <w:r>
        <w:t xml:space="preserve"> </w:t>
      </w:r>
    </w:p>
    <w:p w:rsidR="00045564" w:rsidP="008D7816">
      <w:pPr>
        <w:jc w:val="both"/>
      </w:pPr>
      <w:r>
        <w:t xml:space="preserve">The feedback falls into </w:t>
      </w:r>
      <w:r>
        <w:t xml:space="preserve">four </w:t>
      </w:r>
      <w:r>
        <w:t>distinct categories:</w:t>
      </w:r>
    </w:p>
    <w:p w:rsidR="00045564" w:rsidP="008D7816">
      <w:pPr>
        <w:pStyle w:val="ListParagraph"/>
        <w:numPr>
          <w:ilvl w:val="1"/>
          <w:numId w:val="12"/>
        </w:numPr>
        <w:ind w:left="993" w:hanging="567"/>
        <w:jc w:val="both"/>
      </w:pPr>
      <w:r>
        <w:t>Confirmation that the proposals are appropriate</w:t>
      </w:r>
    </w:p>
    <w:p w:rsidR="00045564" w:rsidP="008D7816">
      <w:pPr>
        <w:pStyle w:val="ListParagraph"/>
        <w:numPr>
          <w:ilvl w:val="1"/>
          <w:numId w:val="12"/>
        </w:numPr>
        <w:ind w:left="993" w:hanging="567"/>
        <w:jc w:val="both"/>
      </w:pPr>
      <w:r>
        <w:t xml:space="preserve">Comments which </w:t>
      </w:r>
      <w:r>
        <w:t>require changes to text to improve clarity of message</w:t>
      </w:r>
      <w:r>
        <w:t xml:space="preserve">  </w:t>
      </w:r>
    </w:p>
    <w:p w:rsidR="00045564" w:rsidP="008D7816">
      <w:pPr>
        <w:pStyle w:val="ListParagraph"/>
        <w:numPr>
          <w:ilvl w:val="1"/>
          <w:numId w:val="12"/>
        </w:numPr>
        <w:ind w:left="993" w:hanging="567"/>
        <w:jc w:val="both"/>
      </w:pPr>
      <w:r>
        <w:t xml:space="preserve">Feedback regarding approaches to </w:t>
      </w:r>
      <w:r>
        <w:t>implementation</w:t>
      </w:r>
    </w:p>
    <w:p w:rsidR="00045564" w:rsidP="008D7816">
      <w:pPr>
        <w:pStyle w:val="ListParagraph"/>
        <w:numPr>
          <w:ilvl w:val="1"/>
          <w:numId w:val="12"/>
        </w:numPr>
        <w:ind w:left="993" w:hanging="567"/>
        <w:jc w:val="both"/>
      </w:pPr>
      <w:r>
        <w:t>Some concerns about the substantive proposals</w:t>
      </w:r>
      <w:r>
        <w:t>.</w:t>
      </w:r>
    </w:p>
    <w:p w:rsidR="0071722F" w:rsidP="008D7816">
      <w:pPr>
        <w:jc w:val="both"/>
      </w:pPr>
      <w:r>
        <w:t>As stated in the introduction to this report, in September 2018 Cabinet endorsed the draft Housing with Care and Support Strategy 2018 – 2025 and approved the undertaking of consultation with ke</w:t>
      </w:r>
      <w:r>
        <w:t>y partners on the draft Strategy.   In addition, Cabinet also authorised the Executive Director of Adult Services and Health &amp; Wellbeing, in consultation with the Cabinet Member for Adult Services and the Cabinet Member for Health and Wellbeing, to make an</w:t>
      </w:r>
      <w:r>
        <w:t>y necessary amendments to the Strategy at the conclusion of the consultation.</w:t>
      </w:r>
    </w:p>
    <w:p w:rsidR="009440FB" w:rsidP="008D7816">
      <w:pPr>
        <w:jc w:val="both"/>
      </w:pPr>
      <w:r>
        <w:t xml:space="preserve">This report will be shared with the Executive Director and the Cabinet Members.  Where proposals need to be clarified </w:t>
      </w:r>
      <w:r>
        <w:t xml:space="preserve">to improve understanding </w:t>
      </w:r>
      <w:r>
        <w:t>then the text of the Strategy will</w:t>
      </w:r>
      <w:r>
        <w:t xml:space="preserve"> </w:t>
      </w:r>
      <w:r>
        <w:t>be</w:t>
      </w:r>
      <w:r>
        <w:t xml:space="preserve"> amended.  Comments about implementation will inform the next stages of this Project.  Where concerns have been expressed regarding service models then these issues will be brought to the attention of the Executive Director and Cabinet Members</w:t>
      </w:r>
      <w:r>
        <w:t xml:space="preserve"> for consid</w:t>
      </w:r>
      <w:r>
        <w:t>eration.</w:t>
      </w:r>
    </w:p>
    <w:p w:rsidR="00BC7958" w:rsidRPr="0071722F" w:rsidP="008D7816">
      <w:pPr>
        <w:jc w:val="both"/>
      </w:pPr>
      <w:r>
        <w:t>A final version of the Strategy will be available by 30</w:t>
      </w:r>
      <w:r w:rsidRPr="008D7816">
        <w:rPr>
          <w:vertAlign w:val="superscript"/>
        </w:rPr>
        <w:t>th</w:t>
      </w:r>
      <w:r>
        <w:t xml:space="preserve"> April 2019</w:t>
      </w:r>
      <w:r>
        <w:t>.</w:t>
      </w:r>
    </w:p>
    <w:sectPr w:rsidSect="00C52DF8">
      <w:headerReference w:type="default" r:id="rId15"/>
      <w:footerReference w:type="default" r:id="rId16"/>
      <w:pgSz w:w="11906" w:h="16838"/>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44803210"/>
      <w:docPartObj>
        <w:docPartGallery w:val="Page Numbers (Bottom of Page)"/>
        <w:docPartUnique/>
      </w:docPartObj>
    </w:sdtPr>
    <w:sdtEndPr>
      <w:rPr>
        <w:color w:val="7F7F7F" w:themeColor="background1" w:themeShade="7F"/>
        <w:spacing w:val="60"/>
      </w:rPr>
    </w:sdtEndPr>
    <w:sdtContent>
      <w:p w:rsidR="001D4F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5C258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5E7" w:rsidRPr="001E7CFE" w:rsidP="001E7CFE">
    <w:pPr>
      <w:pStyle w:val="Header"/>
      <w:jc w:val="right"/>
      <w:rPr>
        <w:sz w:val="22"/>
      </w:rPr>
    </w:pPr>
    <w:r w:rsidRPr="001E7CFE">
      <w:rPr>
        <w:b/>
        <w:noProof/>
        <w:sz w:val="22"/>
        <w:lang w:eastAsia="en-GB"/>
      </w:rPr>
      <w:drawing>
        <wp:anchor distT="0" distB="0" distL="114300" distR="114300" simplePos="0" relativeHeight="251658240" behindDoc="1" locked="0" layoutInCell="1" allowOverlap="1">
          <wp:simplePos x="0" y="0"/>
          <wp:positionH relativeFrom="column">
            <wp:posOffset>-23750</wp:posOffset>
          </wp:positionH>
          <wp:positionV relativeFrom="paragraph">
            <wp:posOffset>-70205</wp:posOffset>
          </wp:positionV>
          <wp:extent cx="819398" cy="390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423083" name="LCC Colour Logo.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51481" cy="405650"/>
                  </a:xfrm>
                  <a:prstGeom prst="rect">
                    <a:avLst/>
                  </a:prstGeom>
                </pic:spPr>
              </pic:pic>
            </a:graphicData>
          </a:graphic>
          <wp14:sizeRelH relativeFrom="margin">
            <wp14:pctWidth>0</wp14:pctWidth>
          </wp14:sizeRelH>
          <wp14:sizeRelV relativeFrom="margin">
            <wp14:pctHeight>0</wp14:pctHeight>
          </wp14:sizeRelV>
        </wp:anchor>
      </w:drawing>
    </w:r>
    <w:r w:rsidRPr="001E7CFE">
      <w:rPr>
        <w:bCs/>
        <w:noProof/>
        <w:sz w:val="22"/>
        <w:lang w:val="en-US"/>
      </w:rPr>
      <w:fldChar w:fldCharType="begin"/>
    </w:r>
    <w:r w:rsidRPr="001E7CFE">
      <w:rPr>
        <w:bCs/>
        <w:noProof/>
        <w:sz w:val="22"/>
        <w:lang w:val="en-US"/>
      </w:rPr>
      <w:instrText xml:space="preserve"> STYLEREF  "Main Title"  \* MERGEFORMAT </w:instrText>
    </w:r>
    <w:r w:rsidRPr="001E7CFE">
      <w:rPr>
        <w:bCs/>
        <w:noProof/>
        <w:sz w:val="22"/>
        <w:lang w:val="en-US"/>
      </w:rPr>
      <w:fldChar w:fldCharType="separate"/>
    </w:r>
    <w:r w:rsidRPr="001E7CFE">
      <w:rPr>
        <w:bCs/>
        <w:noProof/>
        <w:sz w:val="22"/>
        <w:lang w:val="en-US"/>
      </w:rPr>
      <w:fldChar w:fldCharType="end"/>
    </w:r>
    <w:r w:rsidRPr="001E7CFE">
      <w:rPr>
        <w:bCs/>
        <w:noProof/>
        <w:sz w:val="22"/>
        <w:lang w:val="en-US"/>
      </w:rPr>
      <w:fldChar w:fldCharType="begin"/>
    </w:r>
    <w:r w:rsidRPr="001E7CFE">
      <w:rPr>
        <w:bCs/>
        <w:noProof/>
        <w:sz w:val="22"/>
        <w:lang w:val="en-US"/>
      </w:rPr>
      <w:instrText xml:space="preserve"> STYLEREF  "Title Page Sub Title"  \* MERGEFORMAT </w:instrText>
    </w:r>
    <w:r w:rsidRPr="001E7CFE">
      <w:rPr>
        <w:bCs/>
        <w:noProof/>
        <w:sz w:val="22"/>
        <w:lang w:val="en-US"/>
      </w:rPr>
      <w:fldChar w:fldCharType="separate"/>
    </w:r>
    <w:r>
      <w:rPr>
        <w:bCs/>
        <w:noProof/>
        <w:sz w:val="22"/>
        <w:lang w:val="en-US"/>
      </w:rPr>
      <w:t>March 2019</w:t>
    </w:r>
    <w:r w:rsidRPr="001E7CFE">
      <w:rPr>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246EF"/>
    <w:multiLevelType w:val="hybridMultilevel"/>
    <w:tmpl w:val="49FA912C"/>
    <w:lvl w:ilvl="0">
      <w:start w:val="1"/>
      <w:numFmt w:val="decimal"/>
      <w:lvlText w:val="%1."/>
      <w:lvlJc w:val="left"/>
      <w:pPr>
        <w:ind w:left="720" w:hanging="360"/>
      </w:pPr>
      <w:rPr>
        <w:rFonts w:hint="default"/>
      </w:rPr>
    </w:lvl>
    <w:lvl w:ilvl="1">
      <w:start w:val="0"/>
      <w:numFmt w:val="bullet"/>
      <w:lvlText w:val="•"/>
      <w:lvlJc w:val="left"/>
      <w:pPr>
        <w:ind w:left="1800" w:hanging="720"/>
      </w:pPr>
      <w:rPr>
        <w:rFonts w:ascii="Corbel" w:hAnsi="Corbel"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F641A"/>
    <w:multiLevelType w:val="hybridMultilevel"/>
    <w:tmpl w:val="18028C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A8061B"/>
    <w:multiLevelType w:val="hybridMultilevel"/>
    <w:tmpl w:val="766A6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201799"/>
    <w:multiLevelType w:val="hybridMultilevel"/>
    <w:tmpl w:val="227A0E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86593"/>
    <w:multiLevelType w:val="hybridMultilevel"/>
    <w:tmpl w:val="FD24E854"/>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316D7E"/>
    <w:multiLevelType w:val="hybridMultilevel"/>
    <w:tmpl w:val="2D5A2F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BE7CED"/>
    <w:multiLevelType w:val="hybridMultilevel"/>
    <w:tmpl w:val="C4EE8E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FE5FD7"/>
    <w:multiLevelType w:val="hybridMultilevel"/>
    <w:tmpl w:val="F8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644766E"/>
    <w:multiLevelType w:val="hybridMultilevel"/>
    <w:tmpl w:val="72CA38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0375C4"/>
    <w:multiLevelType w:val="hybridMultilevel"/>
    <w:tmpl w:val="66CABC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7B267C"/>
    <w:multiLevelType w:val="hybridMultilevel"/>
    <w:tmpl w:val="5CD4A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E91BE8"/>
    <w:multiLevelType w:val="hybridMultilevel"/>
    <w:tmpl w:val="8BB403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4C12EDD"/>
    <w:multiLevelType w:val="hybridMultilevel"/>
    <w:tmpl w:val="07EC57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2E0376"/>
    <w:multiLevelType w:val="hybridMultilevel"/>
    <w:tmpl w:val="D2882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741975"/>
    <w:multiLevelType w:val="hybridMultilevel"/>
    <w:tmpl w:val="BA84D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AB5471"/>
    <w:multiLevelType w:val="hybridMultilevel"/>
    <w:tmpl w:val="7FFA2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CD769D9"/>
    <w:multiLevelType w:val="hybridMultilevel"/>
    <w:tmpl w:val="F52893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6E61E59"/>
    <w:multiLevelType w:val="hybridMultilevel"/>
    <w:tmpl w:val="EF3A26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7443F5B"/>
    <w:multiLevelType w:val="hybridMultilevel"/>
    <w:tmpl w:val="BD029272"/>
    <w:lvl w:ilvl="0">
      <w:start w:val="3"/>
      <w:numFmt w:val="decimal"/>
      <w:lvlText w:val="%1"/>
      <w:lvlJc w:val="left"/>
      <w:pPr>
        <w:ind w:left="786" w:hanging="36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9">
    <w:nsid w:val="4BDD3151"/>
    <w:multiLevelType w:val="hybridMultilevel"/>
    <w:tmpl w:val="72EA0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5B13D03"/>
    <w:multiLevelType w:val="hybridMultilevel"/>
    <w:tmpl w:val="AE5EF7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206122"/>
    <w:multiLevelType w:val="hybridMultilevel"/>
    <w:tmpl w:val="25266E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1F37804"/>
    <w:multiLevelType w:val="hybridMultilevel"/>
    <w:tmpl w:val="E15079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2BA2749"/>
    <w:multiLevelType w:val="hybridMultilevel"/>
    <w:tmpl w:val="51CC65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B610B0E"/>
    <w:multiLevelType w:val="hybridMultilevel"/>
    <w:tmpl w:val="807A3E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E154232"/>
    <w:multiLevelType w:val="hybridMultilevel"/>
    <w:tmpl w:val="5A7A5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
  </w:num>
  <w:num w:numId="4">
    <w:abstractNumId w:val="0"/>
  </w:num>
  <w:num w:numId="5">
    <w:abstractNumId w:val="22"/>
  </w:num>
  <w:num w:numId="6">
    <w:abstractNumId w:val="8"/>
  </w:num>
  <w:num w:numId="7">
    <w:abstractNumId w:val="12"/>
  </w:num>
  <w:num w:numId="8">
    <w:abstractNumId w:val="1"/>
  </w:num>
  <w:num w:numId="9">
    <w:abstractNumId w:val="2"/>
  </w:num>
  <w:num w:numId="10">
    <w:abstractNumId w:val="23"/>
  </w:num>
  <w:num w:numId="11">
    <w:abstractNumId w:val="3"/>
  </w:num>
  <w:num w:numId="12">
    <w:abstractNumId w:val="18"/>
  </w:num>
  <w:num w:numId="13">
    <w:abstractNumId w:val="21"/>
  </w:num>
  <w:num w:numId="14">
    <w:abstractNumId w:val="16"/>
  </w:num>
  <w:num w:numId="15">
    <w:abstractNumId w:val="13"/>
  </w:num>
  <w:num w:numId="16">
    <w:abstractNumId w:val="14"/>
  </w:num>
  <w:num w:numId="17">
    <w:abstractNumId w:val="19"/>
  </w:num>
  <w:num w:numId="18">
    <w:abstractNumId w:val="9"/>
  </w:num>
  <w:num w:numId="19">
    <w:abstractNumId w:val="25"/>
  </w:num>
  <w:num w:numId="20">
    <w:abstractNumId w:val="6"/>
  </w:num>
  <w:num w:numId="21">
    <w:abstractNumId w:val="11"/>
  </w:num>
  <w:num w:numId="22">
    <w:abstractNumId w:val="24"/>
  </w:num>
  <w:num w:numId="23">
    <w:abstractNumId w:val="7"/>
  </w:num>
  <w:num w:numId="24">
    <w:abstractNumId w:val="10"/>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hAnsi="Corbel" w:eastAsiaTheme="minorHAnsi" w:cs="Times New Roman"/>
        <w:sz w:val="24"/>
        <w:szCs w:val="24"/>
        <w:u w:val="single"/>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2F"/>
    <w:rPr>
      <w:u w:val="none"/>
    </w:rPr>
  </w:style>
  <w:style w:type="paragraph" w:styleId="Heading1">
    <w:name w:val="heading 1"/>
    <w:basedOn w:val="Normal"/>
    <w:next w:val="Normal"/>
    <w:link w:val="Heading1Char"/>
    <w:autoRedefine/>
    <w:qFormat/>
    <w:rsid w:val="00C12255"/>
    <w:pPr>
      <w:keepNext/>
      <w:spacing w:before="120" w:after="120" w:line="240" w:lineRule="auto"/>
      <w:outlineLvl w:val="0"/>
    </w:pPr>
    <w:rPr>
      <w:rFonts w:eastAsia="Times New Roman"/>
      <w:sz w:val="32"/>
    </w:rPr>
  </w:style>
  <w:style w:type="paragraph" w:styleId="Heading2">
    <w:name w:val="heading 2"/>
    <w:basedOn w:val="Normal"/>
    <w:next w:val="Normal"/>
    <w:link w:val="Heading2Char"/>
    <w:autoRedefine/>
    <w:uiPriority w:val="9"/>
    <w:unhideWhenUsed/>
    <w:qFormat/>
    <w:rsid w:val="00D80956"/>
    <w:pPr>
      <w:keepNext/>
      <w:keepLines/>
      <w:spacing w:before="160" w:after="120"/>
      <w:outlineLvl w:val="1"/>
    </w:pPr>
    <w:rPr>
      <w:rFonts w:eastAsiaTheme="majorEastAsia" w:cstheme="majorBidi"/>
      <w:b/>
      <w:color w:val="D31145" w:themeColor="accent1"/>
      <w:sz w:val="28"/>
      <w:szCs w:val="26"/>
    </w:rPr>
  </w:style>
  <w:style w:type="paragraph" w:styleId="Heading3">
    <w:name w:val="heading 3"/>
    <w:basedOn w:val="Normal"/>
    <w:next w:val="Normal"/>
    <w:link w:val="Heading3Char"/>
    <w:autoRedefine/>
    <w:uiPriority w:val="9"/>
    <w:unhideWhenUsed/>
    <w:qFormat/>
    <w:rsid w:val="00560B31"/>
    <w:pPr>
      <w:keepNext/>
      <w:keepLines/>
      <w:spacing w:before="160" w:after="120"/>
      <w:jc w:val="both"/>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700D2F"/>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99008A"/>
    <w:pPr>
      <w:keepNext/>
      <w:keepLines/>
      <w:spacing w:before="40" w:after="0"/>
      <w:outlineLvl w:val="4"/>
    </w:pPr>
    <w:rPr>
      <w:rFonts w:asciiTheme="majorHAnsi" w:eastAsiaTheme="majorEastAsia" w:hAnsiTheme="majorHAnsi" w:cstheme="majorBidi"/>
      <w:color w:val="9D0C3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255"/>
    <w:rPr>
      <w:rFonts w:eastAsia="Times New Roman"/>
      <w:sz w:val="32"/>
      <w:u w:val="none"/>
    </w:rPr>
  </w:style>
  <w:style w:type="paragraph" w:customStyle="1" w:styleId="MainTitle">
    <w:name w:val="Main Title"/>
    <w:basedOn w:val="Normal"/>
    <w:next w:val="Title"/>
    <w:link w:val="MainTitleChar"/>
    <w:autoRedefine/>
    <w:qFormat/>
    <w:rsid w:val="00C12255"/>
    <w:pPr>
      <w:spacing w:after="240" w:line="240" w:lineRule="auto"/>
    </w:pPr>
    <w:rPr>
      <w:rFonts w:eastAsia="Times New Roman"/>
      <w:sz w:val="40"/>
      <w:szCs w:val="48"/>
    </w:rPr>
  </w:style>
  <w:style w:type="character" w:customStyle="1" w:styleId="MainTitleChar">
    <w:name w:val="Main Title Char"/>
    <w:basedOn w:val="DefaultParagraphFont"/>
    <w:link w:val="MainTitle"/>
    <w:rsid w:val="00C12255"/>
    <w:rPr>
      <w:rFonts w:eastAsia="Times New Roman"/>
      <w:sz w:val="40"/>
      <w:szCs w:val="48"/>
      <w:u w:val="none"/>
    </w:rPr>
  </w:style>
  <w:style w:type="paragraph" w:styleId="Header">
    <w:name w:val="header"/>
    <w:basedOn w:val="Normal"/>
    <w:link w:val="HeaderChar"/>
    <w:uiPriority w:val="99"/>
    <w:unhideWhenUsed/>
    <w:rsid w:val="00C84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64"/>
  </w:style>
  <w:style w:type="paragraph" w:styleId="Footer">
    <w:name w:val="footer"/>
    <w:basedOn w:val="Normal"/>
    <w:link w:val="FooterChar"/>
    <w:uiPriority w:val="99"/>
    <w:unhideWhenUsed/>
    <w:rsid w:val="00C84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64"/>
  </w:style>
  <w:style w:type="paragraph" w:customStyle="1" w:styleId="TitlePage">
    <w:name w:val="Title Page"/>
    <w:basedOn w:val="MainTitle"/>
    <w:link w:val="TitlePageChar"/>
    <w:qFormat/>
    <w:rsid w:val="00C12255"/>
    <w:rPr>
      <w:sz w:val="36"/>
    </w:rPr>
  </w:style>
  <w:style w:type="character" w:customStyle="1" w:styleId="Heading2Char">
    <w:name w:val="Heading 2 Char"/>
    <w:basedOn w:val="DefaultParagraphFont"/>
    <w:link w:val="Heading2"/>
    <w:uiPriority w:val="9"/>
    <w:rsid w:val="00D80956"/>
    <w:rPr>
      <w:rFonts w:eastAsiaTheme="majorEastAsia" w:cstheme="majorBidi"/>
      <w:b/>
      <w:color w:val="D31145" w:themeColor="accent1"/>
      <w:sz w:val="28"/>
      <w:szCs w:val="26"/>
      <w:u w:val="none"/>
    </w:rPr>
  </w:style>
  <w:style w:type="character" w:customStyle="1" w:styleId="TitlePageChar">
    <w:name w:val="Title Page Char"/>
    <w:basedOn w:val="MainTitleChar"/>
    <w:link w:val="TitlePage"/>
    <w:rsid w:val="00C12255"/>
    <w:rPr>
      <w:rFonts w:eastAsia="Times New Roman"/>
      <w:sz w:val="36"/>
      <w:szCs w:val="48"/>
      <w:u w:val="none"/>
    </w:rPr>
  </w:style>
  <w:style w:type="paragraph" w:styleId="ListParagraph">
    <w:name w:val="List Paragraph"/>
    <w:basedOn w:val="Normal"/>
    <w:uiPriority w:val="34"/>
    <w:qFormat/>
    <w:rsid w:val="00700D2F"/>
    <w:pPr>
      <w:ind w:left="720"/>
      <w:contextualSpacing/>
    </w:pPr>
  </w:style>
  <w:style w:type="paragraph" w:styleId="TOCHeading">
    <w:name w:val="TOC Heading"/>
    <w:basedOn w:val="Heading1"/>
    <w:next w:val="Normal"/>
    <w:uiPriority w:val="39"/>
    <w:unhideWhenUsed/>
    <w:qFormat/>
    <w:rsid w:val="00700D2F"/>
    <w:pPr>
      <w:keepLines/>
      <w:spacing w:before="240" w:line="259" w:lineRule="auto"/>
      <w:outlineLvl w:val="9"/>
    </w:pPr>
    <w:rPr>
      <w:rFonts w:asciiTheme="majorHAnsi" w:eastAsiaTheme="majorEastAsia" w:hAnsiTheme="majorHAnsi" w:cstheme="majorBidi"/>
      <w:b/>
      <w:color w:val="9D0C33" w:themeColor="accent1" w:themeShade="BF"/>
      <w:szCs w:val="32"/>
      <w:lang w:val="en-US"/>
    </w:rPr>
  </w:style>
  <w:style w:type="paragraph" w:styleId="TOC1">
    <w:name w:val="toc 1"/>
    <w:basedOn w:val="Normal"/>
    <w:next w:val="Normal"/>
    <w:autoRedefine/>
    <w:uiPriority w:val="39"/>
    <w:unhideWhenUsed/>
    <w:rsid w:val="008D5161"/>
    <w:pPr>
      <w:spacing w:after="100"/>
    </w:pPr>
    <w:rPr>
      <w:sz w:val="28"/>
    </w:rPr>
  </w:style>
  <w:style w:type="paragraph" w:styleId="TOC2">
    <w:name w:val="toc 2"/>
    <w:basedOn w:val="Normal"/>
    <w:next w:val="Normal"/>
    <w:autoRedefine/>
    <w:uiPriority w:val="39"/>
    <w:unhideWhenUsed/>
    <w:rsid w:val="008D5161"/>
    <w:pPr>
      <w:tabs>
        <w:tab w:val="right" w:leader="dot" w:pos="9016"/>
      </w:tabs>
      <w:spacing w:after="100"/>
      <w:ind w:left="240"/>
    </w:pPr>
    <w:rPr>
      <w:noProof/>
      <w:color w:val="D31145" w:themeColor="accent1"/>
    </w:rPr>
  </w:style>
  <w:style w:type="character" w:styleId="Hyperlink">
    <w:name w:val="Hyperlink"/>
    <w:basedOn w:val="DefaultParagraphFont"/>
    <w:uiPriority w:val="99"/>
    <w:unhideWhenUsed/>
    <w:rsid w:val="0057078B"/>
    <w:rPr>
      <w:color w:val="D31145" w:themeColor="hyperlink"/>
      <w:u w:val="single"/>
    </w:rPr>
  </w:style>
  <w:style w:type="character" w:customStyle="1" w:styleId="Heading3Char">
    <w:name w:val="Heading 3 Char"/>
    <w:basedOn w:val="DefaultParagraphFont"/>
    <w:link w:val="Heading3"/>
    <w:uiPriority w:val="9"/>
    <w:rsid w:val="00560B31"/>
    <w:rPr>
      <w:rFonts w:eastAsiaTheme="majorEastAsia" w:cstheme="majorBidi"/>
      <w:b/>
      <w:sz w:val="26"/>
      <w:u w:val="none"/>
    </w:rPr>
  </w:style>
  <w:style w:type="paragraph" w:styleId="Title">
    <w:name w:val="Title"/>
    <w:basedOn w:val="Normal"/>
    <w:next w:val="Normal"/>
    <w:link w:val="TitleChar"/>
    <w:uiPriority w:val="10"/>
    <w:qFormat/>
    <w:rsid w:val="00700D2F"/>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700D2F"/>
    <w:rPr>
      <w:rFonts w:eastAsiaTheme="majorEastAsia" w:cstheme="majorBidi"/>
      <w:b/>
      <w:spacing w:val="-10"/>
      <w:kern w:val="28"/>
      <w:sz w:val="40"/>
      <w:szCs w:val="56"/>
      <w:u w:val="none"/>
    </w:rPr>
  </w:style>
  <w:style w:type="paragraph" w:styleId="TOC3">
    <w:name w:val="toc 3"/>
    <w:basedOn w:val="Normal"/>
    <w:next w:val="Normal"/>
    <w:autoRedefine/>
    <w:uiPriority w:val="39"/>
    <w:unhideWhenUsed/>
    <w:rsid w:val="0057078B"/>
    <w:pPr>
      <w:spacing w:after="100"/>
      <w:ind w:left="480"/>
    </w:pPr>
  </w:style>
  <w:style w:type="character" w:customStyle="1" w:styleId="Heading4Char">
    <w:name w:val="Heading 4 Char"/>
    <w:basedOn w:val="DefaultParagraphFont"/>
    <w:link w:val="Heading4"/>
    <w:uiPriority w:val="9"/>
    <w:rsid w:val="00700D2F"/>
    <w:rPr>
      <w:rFonts w:asciiTheme="majorHAnsi" w:eastAsiaTheme="majorEastAsia" w:hAnsiTheme="majorHAnsi" w:cstheme="majorBidi"/>
      <w:i/>
      <w:iCs/>
      <w:u w:val="none"/>
    </w:rPr>
  </w:style>
  <w:style w:type="paragraph" w:customStyle="1" w:styleId="TitlePageSubTitle">
    <w:name w:val="Title Page Sub Title"/>
    <w:basedOn w:val="TitlePage"/>
    <w:link w:val="TitlePageSubTitleChar"/>
    <w:autoRedefine/>
    <w:qFormat/>
    <w:rsid w:val="00195217"/>
    <w:pPr>
      <w:jc w:val="both"/>
    </w:pPr>
    <w:rPr>
      <w:sz w:val="32"/>
    </w:rPr>
  </w:style>
  <w:style w:type="character" w:customStyle="1" w:styleId="TitlePageSubTitleChar">
    <w:name w:val="Title Page Sub Title Char"/>
    <w:basedOn w:val="TitlePageChar"/>
    <w:link w:val="TitlePageSubTitle"/>
    <w:rsid w:val="00195217"/>
    <w:rPr>
      <w:rFonts w:eastAsia="Times New Roman"/>
      <w:sz w:val="32"/>
      <w:szCs w:val="48"/>
      <w:u w:val="none"/>
    </w:rPr>
  </w:style>
  <w:style w:type="table" w:styleId="TableGrid">
    <w:name w:val="Table Grid"/>
    <w:basedOn w:val="TableNormal"/>
    <w:uiPriority w:val="39"/>
    <w:rsid w:val="0099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2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D26D4C"/>
    <w:pPr>
      <w:spacing w:after="0" w:line="240" w:lineRule="auto"/>
    </w:pPr>
    <w:rPr>
      <w:u w:val="none"/>
    </w:rPr>
  </w:style>
  <w:style w:type="character" w:customStyle="1" w:styleId="Heading5Char">
    <w:name w:val="Heading 5 Char"/>
    <w:basedOn w:val="DefaultParagraphFont"/>
    <w:link w:val="Heading5"/>
    <w:uiPriority w:val="9"/>
    <w:rsid w:val="0099008A"/>
    <w:rPr>
      <w:rFonts w:asciiTheme="majorHAnsi" w:eastAsiaTheme="majorEastAsia" w:hAnsiTheme="majorHAnsi" w:cstheme="majorBidi"/>
      <w:color w:val="9D0C33" w:themeColor="accent1" w:themeShade="BF"/>
      <w:u w:val="none"/>
    </w:rPr>
  </w:style>
  <w:style w:type="character" w:styleId="CommentReference">
    <w:name w:val="annotation reference"/>
    <w:basedOn w:val="DefaultParagraphFont"/>
    <w:uiPriority w:val="99"/>
    <w:semiHidden/>
    <w:unhideWhenUsed/>
    <w:rsid w:val="00CD19DC"/>
    <w:rPr>
      <w:sz w:val="16"/>
      <w:szCs w:val="16"/>
    </w:rPr>
  </w:style>
  <w:style w:type="paragraph" w:styleId="CommentText">
    <w:name w:val="annotation text"/>
    <w:basedOn w:val="Normal"/>
    <w:link w:val="CommentTextChar"/>
    <w:uiPriority w:val="99"/>
    <w:semiHidden/>
    <w:unhideWhenUsed/>
    <w:rsid w:val="00CD19DC"/>
    <w:pPr>
      <w:spacing w:line="240" w:lineRule="auto"/>
    </w:pPr>
    <w:rPr>
      <w:sz w:val="20"/>
      <w:szCs w:val="20"/>
    </w:rPr>
  </w:style>
  <w:style w:type="character" w:customStyle="1" w:styleId="CommentTextChar">
    <w:name w:val="Comment Text Char"/>
    <w:basedOn w:val="DefaultParagraphFont"/>
    <w:link w:val="CommentText"/>
    <w:uiPriority w:val="99"/>
    <w:semiHidden/>
    <w:rsid w:val="00CD19DC"/>
    <w:rPr>
      <w:sz w:val="20"/>
      <w:szCs w:val="20"/>
      <w:u w:val="none"/>
    </w:rPr>
  </w:style>
  <w:style w:type="paragraph" w:styleId="CommentSubject">
    <w:name w:val="annotation subject"/>
    <w:basedOn w:val="CommentText"/>
    <w:next w:val="CommentText"/>
    <w:link w:val="CommentSubjectChar"/>
    <w:uiPriority w:val="99"/>
    <w:semiHidden/>
    <w:unhideWhenUsed/>
    <w:rsid w:val="00CD19DC"/>
    <w:rPr>
      <w:b/>
      <w:bCs/>
    </w:rPr>
  </w:style>
  <w:style w:type="character" w:customStyle="1" w:styleId="CommentSubjectChar">
    <w:name w:val="Comment Subject Char"/>
    <w:basedOn w:val="CommentTextChar"/>
    <w:link w:val="CommentSubject"/>
    <w:uiPriority w:val="99"/>
    <w:semiHidden/>
    <w:rsid w:val="00CD19DC"/>
    <w:rPr>
      <w:b/>
      <w:bCs/>
      <w:sz w:val="20"/>
      <w:szCs w:val="20"/>
      <w:u w:val="none"/>
    </w:rPr>
  </w:style>
  <w:style w:type="paragraph" w:styleId="BalloonText">
    <w:name w:val="Balloon Text"/>
    <w:basedOn w:val="Normal"/>
    <w:link w:val="BalloonTextChar"/>
    <w:uiPriority w:val="99"/>
    <w:semiHidden/>
    <w:unhideWhenUsed/>
    <w:rsid w:val="00CD1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9DC"/>
    <w:rPr>
      <w:rFonts w:ascii="Segoe UI" w:hAnsi="Segoe UI" w:cs="Segoe UI"/>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hart" Target="charts/chart5.xml" /><Relationship Id="rId11" Type="http://schemas.openxmlformats.org/officeDocument/2006/relationships/chart" Target="charts/chart6.xml" /><Relationship Id="rId12" Type="http://schemas.openxmlformats.org/officeDocument/2006/relationships/chart" Target="charts/chart7.xml" /><Relationship Id="rId13" Type="http://schemas.openxmlformats.org/officeDocument/2006/relationships/chart" Target="charts/chart8.xml" /><Relationship Id="rId14" Type="http://schemas.openxmlformats.org/officeDocument/2006/relationships/chart" Target="charts/chart9.xm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charts/_rels/chart1.xml.rels>&#65279;<?xml version="1.0" encoding="utf-8" standalone="yes"?><Relationships xmlns="http://schemas.openxmlformats.org/package/2006/relationships"><Relationship Id="rId1" Type="http://schemas.openxmlformats.org/officeDocument/2006/relationships/oleObject" Target="file:///\\CorpData02\OCE\OCERestrictedPermissions\Policy%20Commissioning%20and%20Information%20Team\Age%20Well\Extra%20Care\Strategy\Strategy%20Consultation\Consultation%20responses\Housing%20with%20Care%20and%20Support%20Consulation%20-%20themed.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&#65279;<?xml version="1.0" encoding="utf-8" standalone="yes"?><Relationships xmlns="http://schemas.openxmlformats.org/package/2006/relationships"><Relationship Id="rId1" Type="http://schemas.openxmlformats.org/officeDocument/2006/relationships/oleObject" Target="Book3"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Book3" TargetMode="External" /><Relationship Id="rId2" Type="http://schemas.microsoft.com/office/2011/relationships/chartColorStyle" Target="chart/colors3.xml" /><Relationship Id="rId3"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Book3" TargetMode="External" /><Relationship Id="rId2" Type="http://schemas.microsoft.com/office/2011/relationships/chartColorStyle" Target="chart/colors4.xml" /><Relationship Id="rId3"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Book3" TargetMode="External" /><Relationship Id="rId2" Type="http://schemas.microsoft.com/office/2011/relationships/chartColorStyle" Target="chart/colors5.xml" /><Relationship Id="rId3"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Book3" TargetMode="External" /><Relationship Id="rId2" Type="http://schemas.microsoft.com/office/2011/relationships/chartColorStyle" Target="chart/colors6.xml" /><Relationship Id="rId3"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Book3" TargetMode="External" /><Relationship Id="rId2" Type="http://schemas.microsoft.com/office/2011/relationships/chartColorStyle" Target="chart/colors7.xml" /><Relationship Id="rId3"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Book3" TargetMode="External" /><Relationship Id="rId2" Type="http://schemas.microsoft.com/office/2011/relationships/chartColorStyle" Target="chart/colors8.xml" /><Relationship Id="rId3"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Book3" TargetMode="External" /><Relationship Id="rId2" Type="http://schemas.microsoft.com/office/2011/relationships/chartColorStyle" Target="chart/colors9.xml" /><Relationship Id="rId3"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0.031055819109567902"/>
                  <c:y val="0"/>
                </c:manualLayout>
              </c:layout>
              <c:dLblPos val="bestFit"/>
              <c:showLegendKey val="0"/>
              <c:showVal val="0"/>
              <c:showCatName val="1"/>
              <c:showSerName val="0"/>
              <c:showPercent val="1"/>
              <c:showBubbleSize val="0"/>
              <c:extLst>
                <c:ext xmlns:c="http://schemas.openxmlformats.org/drawingml/2006/chart" xmlns:c15="http://schemas.microsoft.com/office/drawing/2012/chart" uri="{CE6537A1-D6FC-4f65-9D91-7224C49458BB}">
                  <c15:layout>
                    <c:manualLayout>
                      <c:w val="0.32409937888198753"/>
                      <c:h val="0.1159372637953662"/>
                    </c:manualLayout>
                  </c15:layout>
                </c:ext>
              </c:extLst>
            </c:dLbl>
            <c:dLbl>
              <c:idx val="1"/>
              <c:layout>
                <c:manualLayout>
                  <c:x val="-0.039337474120082892"/>
                  <c:y val="0.035469573225118553"/>
                </c:manualLayout>
              </c:layout>
              <c:dLblPos val="bestFit"/>
              <c:showLegendKey val="0"/>
              <c:showVal val="0"/>
              <c:showCatName val="1"/>
              <c:showSerName val="0"/>
              <c:showPercent val="1"/>
              <c:showBubbleSize val="0"/>
              <c:extLst>
                <c:ext xmlns:c="http://schemas.openxmlformats.org/drawingml/2006/chart" xmlns:c15="http://schemas.microsoft.com/office/drawing/2012/chart" uri="{CE6537A1-D6FC-4f65-9D91-7224C49458BB}"/>
              </c:extLst>
            </c:dLbl>
            <c:dLbl>
              <c:idx val="3"/>
              <c:layout>
                <c:manualLayout>
                  <c:x val="-0.016563146997929608"/>
                  <c:y val="0.022571546597802715"/>
                </c:manualLayout>
              </c:layout>
              <c:dLblPos val="bestFit"/>
              <c:showLegendKey val="0"/>
              <c:showVal val="0"/>
              <c:showCatName val="1"/>
              <c:showSerName val="0"/>
              <c:showPercent val="1"/>
              <c:showBubbleSize val="0"/>
              <c:extLst>
                <c:ext xmlns:c="http://schemas.openxmlformats.org/drawingml/2006/chart" xmlns:c15="http://schemas.microsoft.com/office/drawing/2012/chart" uri="{CE6537A1-D6FC-4f65-9D91-7224C49458BB}"/>
              </c:extLst>
            </c:dLbl>
            <c:dLbl>
              <c:idx val="4"/>
              <c:layout>
                <c:manualLayout>
                  <c:x val="-0.033126293995859292"/>
                  <c:y val="0"/>
                </c:manualLayout>
              </c:layout>
              <c:dLblPos val="bestFit"/>
              <c:showLegendKey val="0"/>
              <c:showVal val="0"/>
              <c:showCatName val="1"/>
              <c:showSerName val="0"/>
              <c:showPercent val="1"/>
              <c:showBubbleSize val="0"/>
              <c:extLst>
                <c:ext xmlns:c="http://schemas.openxmlformats.org/drawingml/2006/chart" xmlns:c15="http://schemas.microsoft.com/office/drawing/2012/chart" uri="{CE6537A1-D6FC-4f65-9D91-7224C49458BB}">
                  <c15:layout>
                    <c:manualLayout>
                      <c:w val="0.26988620987593942"/>
                      <c:h val="0.1159372637953662"/>
                    </c:manualLayout>
                  </c15:layout>
                </c:ext>
              </c:extLst>
            </c:dLbl>
            <c:dLbl>
              <c:idx val="6"/>
              <c:layout>
                <c:manualLayout>
                  <c:x val="0.018633540372670808"/>
                  <c:y val="0.012898026627315836"/>
                </c:manualLayout>
              </c:layout>
              <c:dLblPos val="bestFit"/>
              <c:showLegendKey val="0"/>
              <c:showVal val="0"/>
              <c:showCatName val="1"/>
              <c:showSerName val="0"/>
              <c:showPercent val="1"/>
              <c:showBubbleSize val="0"/>
              <c:extLst>
                <c:ext xmlns:c="http://schemas.openxmlformats.org/drawingml/2006/chart" xmlns:c15="http://schemas.microsoft.com/office/drawing/2012/chart" uri="{CE6537A1-D6FC-4f65-9D91-7224C49458BB}"/>
              </c:extLst>
            </c:dLbl>
            <c:dLbl>
              <c:idx val="7"/>
              <c:layout>
                <c:manualLayout>
                  <c:x val="0.004140786749482402"/>
                  <c:y val="-0.0096735199704869376"/>
                </c:manualLayout>
              </c:layout>
              <c:dLblPos val="bestFit"/>
              <c:showLegendKey val="0"/>
              <c:showVal val="0"/>
              <c:showCatName val="1"/>
              <c:showSerName val="0"/>
              <c:showPercent val="1"/>
              <c:showBubbleSize val="0"/>
              <c:extLst>
                <c:ext xmlns:c="http://schemas.openxmlformats.org/drawingml/2006/char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http://schemas.openxmlformats.org/drawingml/2006/chart" xmlns:c15="http://schemas.microsoft.com/office/drawing/2012/chart" uri="{CE6537A1-D6FC-4f65-9D91-7224C49458BB}"/>
            </c:extLst>
          </c:dLbls>
          <c:cat>
            <c:strRef>
              <c:f>Response!$C$4:$C$12</c:f>
              <c:strCache>
                <c:ptCount val="9"/>
                <c:pt idx="0">
                  <c:v>Clinical Commissioning Group</c:v>
                </c:pt>
                <c:pt idx="1">
                  <c:v>District Council</c:v>
                </c:pt>
                <c:pt idx="2">
                  <c:v>Domiciliary Care Provider</c:v>
                </c:pt>
                <c:pt idx="3">
                  <c:v>A Housing Provider/Developer</c:v>
                </c:pt>
                <c:pt idx="4">
                  <c:v>A Residential Care Provider</c:v>
                </c:pt>
                <c:pt idx="5">
                  <c:v>Supported Housing Provider</c:v>
                </c:pt>
                <c:pt idx="6">
                  <c:v>Voluntary, Community and Faith Sectors</c:v>
                </c:pt>
                <c:pt idx="7">
                  <c:v>Blank</c:v>
                </c:pt>
                <c:pt idx="8">
                  <c:v>Others</c:v>
                </c:pt>
              </c:strCache>
            </c:strRef>
          </c:cat>
          <c:val>
            <c:numRef>
              <c:f>Response!$D$4:$D$12</c:f>
              <c:numCache>
                <c:formatCode>General</c:formatCode>
                <c:ptCount val="9"/>
                <c:pt idx="0">
                  <c:v>2</c:v>
                </c:pt>
                <c:pt idx="1">
                  <c:v>7</c:v>
                </c:pt>
                <c:pt idx="2">
                  <c:v>17</c:v>
                </c:pt>
                <c:pt idx="3">
                  <c:v>21</c:v>
                </c:pt>
                <c:pt idx="4">
                  <c:v>20</c:v>
                </c:pt>
                <c:pt idx="5">
                  <c:v>18</c:v>
                </c:pt>
                <c:pt idx="6">
                  <c:v>4</c:v>
                </c:pt>
                <c:pt idx="7">
                  <c:v>3</c:v>
                </c:pt>
                <c:pt idx="8">
                  <c:v>24</c:v>
                </c:pt>
              </c:numCache>
            </c:numRef>
          </c:val>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3655913978494623"/>
          <c:y val="0.0072460208528979751"/>
          <c:w val="0.95268817204301071"/>
          <c:h val="0.54438320209973756"/>
        </c:manualLayout>
      </c:layout>
      <c:barChart>
        <c:barDir val="bar"/>
        <c:grouping val="stacked"/>
        <c:varyColors val="0"/>
        <c:ser>
          <c:idx val="0"/>
          <c:order val="0"/>
          <c:tx>
            <c:strRef>
              <c:f>Sheet1!$E$35</c:f>
              <c:strCache>
                <c:ptCount val="1"/>
                <c:pt idx="0">
                  <c:v>Strongly 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Sheet1!$F$35</c:f>
              <c:numCache>
                <c:formatCode>0%</c:formatCode>
                <c:ptCount val="1"/>
                <c:pt idx="0">
                  <c:v>0.61</c:v>
                </c:pt>
              </c:numCache>
            </c:numRef>
          </c:val>
        </c:ser>
        <c:ser>
          <c:idx val="1"/>
          <c:order val="1"/>
          <c:tx>
            <c:strRef>
              <c:f>Sheet1!$E$36</c:f>
              <c:strCache>
                <c:ptCount val="1"/>
                <c:pt idx="0">
                  <c:v>Tend to 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Sheet1!$F$36</c:f>
              <c:numCache>
                <c:formatCode>0%</c:formatCode>
                <c:ptCount val="1"/>
                <c:pt idx="0">
                  <c:v>0.2</c:v>
                </c:pt>
              </c:numCache>
            </c:numRef>
          </c:val>
        </c:ser>
        <c:ser>
          <c:idx val="2"/>
          <c:order val="2"/>
          <c:tx>
            <c:strRef>
              <c:f>Sheet1!$E$37</c:f>
              <c:strCache>
                <c:ptCount val="1"/>
                <c:pt idx="0">
                  <c:v>Neither agree nor disagree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Sheet1!$F$37</c:f>
              <c:numCache>
                <c:formatCode>0%</c:formatCode>
                <c:ptCount val="1"/>
                <c:pt idx="0">
                  <c:v>0.09</c:v>
                </c:pt>
              </c:numCache>
            </c:numRef>
          </c:val>
        </c:ser>
        <c:ser>
          <c:idx val="3"/>
          <c:order val="3"/>
          <c:tx>
            <c:strRef>
              <c:f>Sheet1!$E$38</c:f>
              <c:strCache>
                <c:ptCount val="1"/>
                <c:pt idx="0">
                  <c:v>Tend to disagree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Sheet1!$F$38</c:f>
              <c:numCache>
                <c:formatCode>0%</c:formatCode>
                <c:ptCount val="1"/>
                <c:pt idx="0">
                  <c:v>0.05</c:v>
                </c:pt>
              </c:numCache>
            </c:numRef>
          </c:val>
        </c:ser>
        <c:ser>
          <c:idx val="4"/>
          <c:order val="4"/>
          <c:tx>
            <c:strRef>
              <c:f>Sheet1!$E$39</c:f>
              <c:strCache>
                <c:ptCount val="1"/>
                <c:pt idx="0">
                  <c:v>Strongly Disagree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Sheet1!$F$39</c:f>
              <c:numCache>
                <c:formatCode>0%</c:formatCode>
                <c:ptCount val="1"/>
                <c:pt idx="0">
                  <c:v>0.04</c:v>
                </c:pt>
              </c:numCache>
            </c:numRef>
          </c:val>
        </c:ser>
        <c:dLbls>
          <c:dLblPos val="ctr"/>
          <c:showLegendKey val="0"/>
          <c:showVal val="1"/>
          <c:showCatName val="0"/>
          <c:showSerName val="0"/>
          <c:showPercent val="0"/>
          <c:showBubbleSize val="0"/>
        </c:dLbls>
        <c:gapWidth val="150"/>
        <c:overlap val="100"/>
        <c:axId val="185458888"/>
        <c:axId val="289061432"/>
      </c:barChart>
      <c:catAx>
        <c:axId val="185458888"/>
        <c:scaling>
          <c:orientation val="minMax"/>
        </c:scaling>
        <c:delete val="1"/>
        <c:axPos val="l"/>
        <c:numFmt formatCode="General" sourceLinked="1"/>
        <c:majorTickMark val="none"/>
        <c:minorTickMark val="none"/>
        <c:tickLblPos val="nextTo"/>
        <c:crossAx val="289061432"/>
        <c:crosses val="autoZero"/>
        <c:auto val="1"/>
        <c:lblAlgn val="ctr"/>
        <c:lblOffset val="100"/>
      </c:catAx>
      <c:valAx>
        <c:axId val="289061432"/>
        <c:scaling>
          <c:orientation val="minMax"/>
          <c:max val="1"/>
        </c:scaling>
        <c:delete val="1"/>
        <c:axPos val="b"/>
        <c:numFmt formatCode="0%" sourceLinked="1"/>
        <c:majorTickMark val="none"/>
        <c:minorTickMark val="none"/>
        <c:tickLblPos val="nextTo"/>
        <c:crossAx val="185458888"/>
        <c:crosses val="autoZero"/>
        <c:crossBetween val="between"/>
        <c:majorUnit val="0.1"/>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3655913978494623"/>
          <c:y val="0.061366806136680614"/>
          <c:w val="0.95268817204301071"/>
          <c:h val="0.35004904386951624"/>
        </c:manualLayout>
      </c:layout>
      <c:barChart>
        <c:barDir val="bar"/>
        <c:grouping val="stacked"/>
        <c:varyColors val="0"/>
        <c:ser>
          <c:idx val="0"/>
          <c:order val="0"/>
          <c:tx>
            <c:strRef>
              <c:f>Sheet1!$E$62</c:f>
              <c:strCache>
                <c:ptCount val="1"/>
                <c:pt idx="0">
                  <c:v>Strongly Agree</c:v>
                </c:pt>
              </c:strCache>
            </c:strRef>
          </c:tx>
          <c:spPr>
            <a:solidFill>
              <a:schemeClr val="accent1"/>
            </a:solidFill>
            <a:ln>
              <a:noFill/>
            </a:ln>
            <a:effectLst/>
          </c:spPr>
          <c:dLbls>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Sheet1!$F$62</c:f>
              <c:numCache>
                <c:formatCode>0%</c:formatCode>
                <c:ptCount val="1"/>
                <c:pt idx="0">
                  <c:v>0.57</c:v>
                </c:pt>
              </c:numCache>
            </c:numRef>
          </c:val>
        </c:ser>
        <c:ser>
          <c:idx val="1"/>
          <c:order val="1"/>
          <c:tx>
            <c:strRef>
              <c:f>Sheet1!$E$63</c:f>
              <c:strCache>
                <c:ptCount val="1"/>
                <c:pt idx="0">
                  <c:v>Tend to 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Sheet1!$F$63</c:f>
              <c:numCache>
                <c:formatCode>0%</c:formatCode>
                <c:ptCount val="1"/>
                <c:pt idx="0">
                  <c:v>0.23</c:v>
                </c:pt>
              </c:numCache>
            </c:numRef>
          </c:val>
        </c:ser>
        <c:ser>
          <c:idx val="2"/>
          <c:order val="2"/>
          <c:tx>
            <c:strRef>
              <c:f>Sheet1!$E$64</c:f>
              <c:strCache>
                <c:ptCount val="1"/>
                <c:pt idx="0">
                  <c:v>Neither agree nor disagree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Sheet1!$F$64</c:f>
              <c:numCache>
                <c:formatCode>0%</c:formatCode>
                <c:ptCount val="1"/>
                <c:pt idx="0">
                  <c:v>0.12</c:v>
                </c:pt>
              </c:numCache>
            </c:numRef>
          </c:val>
        </c:ser>
        <c:ser>
          <c:idx val="3"/>
          <c:order val="3"/>
          <c:tx>
            <c:strRef>
              <c:f>Sheet1!$E$65</c:f>
              <c:strCache>
                <c:ptCount val="1"/>
                <c:pt idx="0">
                  <c:v>Tend to disagree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Sheet1!$F$65</c:f>
              <c:numCache>
                <c:formatCode>0%</c:formatCode>
                <c:ptCount val="1"/>
                <c:pt idx="0">
                  <c:v>0.05</c:v>
                </c:pt>
              </c:numCache>
            </c:numRef>
          </c:val>
        </c:ser>
        <c:ser>
          <c:idx val="4"/>
          <c:order val="4"/>
          <c:tx>
            <c:strRef>
              <c:f>Sheet1!$E$66</c:f>
              <c:strCache>
                <c:ptCount val="1"/>
                <c:pt idx="0">
                  <c:v>Strongly Disagree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Sheet1!$F$66</c:f>
              <c:numCache>
                <c:formatCode>0%</c:formatCode>
                <c:ptCount val="1"/>
                <c:pt idx="0">
                  <c:v>0.03</c:v>
                </c:pt>
              </c:numCache>
            </c:numRef>
          </c:val>
        </c:ser>
        <c:dLbls>
          <c:dLblPos val="ctr"/>
          <c:showLegendKey val="0"/>
          <c:showVal val="1"/>
          <c:showCatName val="0"/>
          <c:showSerName val="0"/>
          <c:showPercent val="0"/>
          <c:showBubbleSize val="0"/>
        </c:dLbls>
        <c:gapWidth val="150"/>
        <c:overlap val="100"/>
        <c:axId val="289062216"/>
        <c:axId val="289062608"/>
      </c:barChart>
      <c:catAx>
        <c:axId val="289062216"/>
        <c:scaling>
          <c:orientation val="minMax"/>
        </c:scaling>
        <c:delete val="1"/>
        <c:axPos val="l"/>
        <c:numFmt formatCode="General" sourceLinked="1"/>
        <c:majorTickMark val="none"/>
        <c:minorTickMark val="none"/>
        <c:tickLblPos val="nextTo"/>
        <c:crossAx val="289062608"/>
        <c:crosses val="autoZero"/>
        <c:auto val="1"/>
        <c:lblAlgn val="ctr"/>
        <c:lblOffset val="100"/>
      </c:catAx>
      <c:valAx>
        <c:axId val="289062608"/>
        <c:scaling>
          <c:orientation val="minMax"/>
          <c:max val="1"/>
        </c:scaling>
        <c:delete val="1"/>
        <c:axPos val="b"/>
        <c:numFmt formatCode="0%" sourceLinked="1"/>
        <c:majorTickMark val="none"/>
        <c:minorTickMark val="none"/>
        <c:tickLblPos val="nextTo"/>
        <c:crossAx val="289062216"/>
        <c:crosses val="autoZero"/>
        <c:crossBetween val="between"/>
      </c:valAx>
      <c:spPr>
        <a:noFill/>
        <a:ln>
          <a:noFill/>
        </a:ln>
        <a:effectLst/>
      </c:spPr>
    </c:plotArea>
    <c:legend>
      <c:legendPos val="b"/>
      <c:layout>
        <c:manualLayout>
          <c:xMode val="edge"/>
          <c:yMode val="edge"/>
          <c:x val="0.034946236559139782"/>
          <c:y val="0.51121543769292987"/>
          <c:w val="0.9"/>
          <c:h val="0.2658737657792775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4004364429896344"/>
          <c:y val="0.06035665294924554"/>
          <c:w val="0.95199127114020732"/>
          <c:h val="0.60562349459404"/>
        </c:manualLayout>
      </c:layout>
      <c:barChart>
        <c:barDir val="bar"/>
        <c:grouping val="stacked"/>
        <c:varyColors val="0"/>
        <c:ser>
          <c:idx val="0"/>
          <c:order val="0"/>
          <c:tx>
            <c:strRef>
              <c:f>Sheet1!$E$74</c:f>
              <c:strCache>
                <c:ptCount val="1"/>
                <c:pt idx="0">
                  <c:v>Strongly 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Sheet1!$F$74</c:f>
              <c:numCache>
                <c:formatCode>0%</c:formatCode>
                <c:ptCount val="1"/>
                <c:pt idx="0">
                  <c:v>0.44</c:v>
                </c:pt>
              </c:numCache>
            </c:numRef>
          </c:val>
        </c:ser>
        <c:ser>
          <c:idx val="1"/>
          <c:order val="1"/>
          <c:tx>
            <c:strRef>
              <c:f>Sheet1!$E$75</c:f>
              <c:strCache>
                <c:ptCount val="1"/>
                <c:pt idx="0">
                  <c:v>Tend to 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Sheet1!$F$75</c:f>
              <c:numCache>
                <c:formatCode>0%</c:formatCode>
                <c:ptCount val="1"/>
                <c:pt idx="0">
                  <c:v>0.25</c:v>
                </c:pt>
              </c:numCache>
            </c:numRef>
          </c:val>
        </c:ser>
        <c:ser>
          <c:idx val="2"/>
          <c:order val="2"/>
          <c:tx>
            <c:strRef>
              <c:f>Sheet1!$E$76</c:f>
              <c:strCache>
                <c:ptCount val="1"/>
                <c:pt idx="0">
                  <c:v>Neither agree nor disagree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Sheet1!$F$76</c:f>
              <c:numCache>
                <c:formatCode>0%</c:formatCode>
                <c:ptCount val="1"/>
                <c:pt idx="0">
                  <c:v>0.12</c:v>
                </c:pt>
              </c:numCache>
            </c:numRef>
          </c:val>
        </c:ser>
        <c:ser>
          <c:idx val="3"/>
          <c:order val="3"/>
          <c:tx>
            <c:strRef>
              <c:f>Sheet1!$E$77</c:f>
              <c:strCache>
                <c:ptCount val="1"/>
                <c:pt idx="0">
                  <c:v>Tend to disagree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Sheet1!$F$77</c:f>
              <c:numCache>
                <c:formatCode>0%</c:formatCode>
                <c:ptCount val="1"/>
                <c:pt idx="0">
                  <c:v>0.12</c:v>
                </c:pt>
              </c:numCache>
            </c:numRef>
          </c:val>
        </c:ser>
        <c:ser>
          <c:idx val="4"/>
          <c:order val="4"/>
          <c:tx>
            <c:strRef>
              <c:f>Sheet1!$E$78</c:f>
              <c:strCache>
                <c:ptCount val="1"/>
                <c:pt idx="0">
                  <c:v>Strongly Disagree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Sheet1!$F$78</c:f>
              <c:numCache>
                <c:formatCode>0%</c:formatCode>
                <c:ptCount val="1"/>
                <c:pt idx="0">
                  <c:v>0.07</c:v>
                </c:pt>
              </c:numCache>
            </c:numRef>
          </c:val>
        </c:ser>
        <c:dLbls>
          <c:dLblPos val="ctr"/>
          <c:showLegendKey val="0"/>
          <c:showVal val="1"/>
          <c:showCatName val="0"/>
          <c:showSerName val="0"/>
          <c:showPercent val="0"/>
          <c:showBubbleSize val="0"/>
        </c:dLbls>
        <c:gapWidth val="150"/>
        <c:overlap val="100"/>
        <c:axId val="289063392"/>
        <c:axId val="289063784"/>
      </c:barChart>
      <c:catAx>
        <c:axId val="289063392"/>
        <c:scaling>
          <c:orientation val="minMax"/>
        </c:scaling>
        <c:delete val="1"/>
        <c:axPos val="l"/>
        <c:numFmt formatCode="General" sourceLinked="1"/>
        <c:majorTickMark val="none"/>
        <c:minorTickMark val="none"/>
        <c:tickLblPos val="nextTo"/>
        <c:crossAx val="289063784"/>
        <c:crosses val="autoZero"/>
        <c:auto val="1"/>
        <c:lblAlgn val="ctr"/>
        <c:lblOffset val="100"/>
      </c:catAx>
      <c:valAx>
        <c:axId val="289063784"/>
        <c:scaling>
          <c:orientation val="minMax"/>
          <c:max val="1"/>
        </c:scaling>
        <c:delete val="1"/>
        <c:axPos val="b"/>
        <c:numFmt formatCode="0%" sourceLinked="1"/>
        <c:majorTickMark val="none"/>
        <c:minorTickMark val="none"/>
        <c:tickLblPos val="nextTo"/>
        <c:crossAx val="2890633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3429179978700747"/>
          <c:y val="0.056410256410256411"/>
          <c:w val="0.95314164004259849"/>
          <c:h val="0.59551221481930139"/>
        </c:manualLayout>
      </c:layout>
      <c:barChart>
        <c:barDir val="bar"/>
        <c:grouping val="stacked"/>
        <c:varyColors val="0"/>
        <c:ser>
          <c:idx val="0"/>
          <c:order val="0"/>
          <c:tx>
            <c:strRef>
              <c:f>Sheet1!$E$93</c:f>
              <c:strCache>
                <c:ptCount val="1"/>
                <c:pt idx="0">
                  <c:v>Strongly 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Sheet1!$F$93</c:f>
              <c:numCache>
                <c:formatCode>0%</c:formatCode>
                <c:ptCount val="1"/>
                <c:pt idx="0">
                  <c:v>0.56</c:v>
                </c:pt>
              </c:numCache>
            </c:numRef>
          </c:val>
        </c:ser>
        <c:ser>
          <c:idx val="1"/>
          <c:order val="1"/>
          <c:tx>
            <c:strRef>
              <c:f>Sheet1!$E$94</c:f>
              <c:strCache>
                <c:ptCount val="1"/>
                <c:pt idx="0">
                  <c:v>Tend to 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Sheet1!$F$94</c:f>
              <c:numCache>
                <c:formatCode>0%</c:formatCode>
                <c:ptCount val="1"/>
                <c:pt idx="0">
                  <c:v>0.17</c:v>
                </c:pt>
              </c:numCache>
            </c:numRef>
          </c:val>
        </c:ser>
        <c:ser>
          <c:idx val="2"/>
          <c:order val="2"/>
          <c:tx>
            <c:strRef>
              <c:f>Sheet1!$E$95</c:f>
              <c:strCache>
                <c:ptCount val="1"/>
                <c:pt idx="0">
                  <c:v>Neither agree nor disagree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Sheet1!$F$95</c:f>
              <c:numCache>
                <c:formatCode>0%</c:formatCode>
                <c:ptCount val="1"/>
                <c:pt idx="0">
                  <c:v>0.16</c:v>
                </c:pt>
              </c:numCache>
            </c:numRef>
          </c:val>
        </c:ser>
        <c:ser>
          <c:idx val="3"/>
          <c:order val="3"/>
          <c:tx>
            <c:strRef>
              <c:f>Sheet1!$E$96</c:f>
              <c:strCache>
                <c:ptCount val="1"/>
                <c:pt idx="0">
                  <c:v>Tend to disagree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Sheet1!$F$96</c:f>
              <c:numCache>
                <c:formatCode>0%</c:formatCode>
                <c:ptCount val="1"/>
                <c:pt idx="0">
                  <c:v>0.07</c:v>
                </c:pt>
              </c:numCache>
            </c:numRef>
          </c:val>
        </c:ser>
        <c:ser>
          <c:idx val="4"/>
          <c:order val="4"/>
          <c:tx>
            <c:strRef>
              <c:f>Sheet1!$E$97</c:f>
              <c:strCache>
                <c:ptCount val="1"/>
                <c:pt idx="0">
                  <c:v>Strongly Disagree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Sheet1!$F$97</c:f>
              <c:numCache>
                <c:formatCode>0%</c:formatCode>
                <c:ptCount val="1"/>
                <c:pt idx="0">
                  <c:v>0.04</c:v>
                </c:pt>
              </c:numCache>
            </c:numRef>
          </c:val>
        </c:ser>
        <c:dLbls>
          <c:dLblPos val="ctr"/>
          <c:showLegendKey val="0"/>
          <c:showVal val="1"/>
          <c:showCatName val="0"/>
          <c:showSerName val="0"/>
          <c:showPercent val="0"/>
          <c:showBubbleSize val="0"/>
        </c:dLbls>
        <c:gapWidth val="150"/>
        <c:overlap val="100"/>
        <c:axId val="289064568"/>
        <c:axId val="289064960"/>
      </c:barChart>
      <c:catAx>
        <c:axId val="289064568"/>
        <c:scaling>
          <c:orientation val="minMax"/>
        </c:scaling>
        <c:delete val="1"/>
        <c:axPos val="l"/>
        <c:numFmt formatCode="General" sourceLinked="1"/>
        <c:majorTickMark val="none"/>
        <c:minorTickMark val="none"/>
        <c:tickLblPos val="nextTo"/>
        <c:crossAx val="289064960"/>
        <c:crosses val="autoZero"/>
        <c:auto val="1"/>
        <c:lblAlgn val="ctr"/>
        <c:lblOffset val="100"/>
      </c:catAx>
      <c:valAx>
        <c:axId val="289064960"/>
        <c:scaling>
          <c:orientation val="minMax"/>
          <c:max val="1"/>
        </c:scaling>
        <c:delete val="1"/>
        <c:axPos val="b"/>
        <c:numFmt formatCode="0%" sourceLinked="1"/>
        <c:majorTickMark val="none"/>
        <c:minorTickMark val="none"/>
        <c:tickLblPos val="nextTo"/>
        <c:crossAx val="289064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328042328042328"/>
          <c:y val="0.055137844611528819"/>
          <c:w val="0.95343915343915342"/>
          <c:h val="0.4303208435152503"/>
        </c:manualLayout>
      </c:layout>
      <c:barChart>
        <c:barDir val="bar"/>
        <c:grouping val="stacked"/>
        <c:varyColors val="0"/>
        <c:ser>
          <c:idx val="0"/>
          <c:order val="0"/>
          <c:tx>
            <c:strRef>
              <c:f>Sheet1!$E$111</c:f>
              <c:strCache>
                <c:ptCount val="1"/>
                <c:pt idx="0">
                  <c:v>Strongly 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Sheet1!$F$111</c:f>
              <c:numCache>
                <c:formatCode>0%</c:formatCode>
                <c:ptCount val="1"/>
                <c:pt idx="0">
                  <c:v>0.69</c:v>
                </c:pt>
              </c:numCache>
            </c:numRef>
          </c:val>
        </c:ser>
        <c:ser>
          <c:idx val="1"/>
          <c:order val="1"/>
          <c:tx>
            <c:strRef>
              <c:f>Sheet1!$E$112</c:f>
              <c:strCache>
                <c:ptCount val="1"/>
                <c:pt idx="0">
                  <c:v>Tend to 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Sheet1!$F$112</c:f>
              <c:numCache>
                <c:formatCode>0%</c:formatCode>
                <c:ptCount val="1"/>
                <c:pt idx="0">
                  <c:v>0.16</c:v>
                </c:pt>
              </c:numCache>
            </c:numRef>
          </c:val>
        </c:ser>
        <c:ser>
          <c:idx val="2"/>
          <c:order val="2"/>
          <c:tx>
            <c:strRef>
              <c:f>Sheet1!$E$113</c:f>
              <c:strCache>
                <c:ptCount val="1"/>
                <c:pt idx="0">
                  <c:v>Neither agree nor disagree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Sheet1!$F$113</c:f>
              <c:numCache>
                <c:formatCode>0%</c:formatCode>
                <c:ptCount val="1"/>
                <c:pt idx="0">
                  <c:v>0.07</c:v>
                </c:pt>
              </c:numCache>
            </c:numRef>
          </c:val>
        </c:ser>
        <c:ser>
          <c:idx val="3"/>
          <c:order val="3"/>
          <c:tx>
            <c:strRef>
              <c:f>Sheet1!$E$114</c:f>
              <c:strCache>
                <c:ptCount val="1"/>
                <c:pt idx="0">
                  <c:v>Tend to disagree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Sheet1!$F$114</c:f>
              <c:numCache>
                <c:formatCode>0%</c:formatCode>
                <c:ptCount val="1"/>
                <c:pt idx="0">
                  <c:v>0.04</c:v>
                </c:pt>
              </c:numCache>
            </c:numRef>
          </c:val>
        </c:ser>
        <c:ser>
          <c:idx val="4"/>
          <c:order val="4"/>
          <c:tx>
            <c:strRef>
              <c:f>Sheet1!$E$115</c:f>
              <c:strCache>
                <c:ptCount val="1"/>
                <c:pt idx="0">
                  <c:v>Strongly Disagree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Sheet1!$F$115</c:f>
              <c:numCache>
                <c:formatCode>0%</c:formatCode>
                <c:ptCount val="1"/>
                <c:pt idx="0">
                  <c:v>0.04</c:v>
                </c:pt>
              </c:numCache>
            </c:numRef>
          </c:val>
        </c:ser>
        <c:dLbls>
          <c:dLblPos val="ctr"/>
          <c:showLegendKey val="0"/>
          <c:showVal val="1"/>
          <c:showCatName val="0"/>
          <c:showSerName val="0"/>
          <c:showPercent val="0"/>
          <c:showBubbleSize val="0"/>
        </c:dLbls>
        <c:gapWidth val="150"/>
        <c:overlap val="100"/>
        <c:axId val="289669920"/>
        <c:axId val="289670312"/>
      </c:barChart>
      <c:catAx>
        <c:axId val="289669920"/>
        <c:scaling>
          <c:orientation val="minMax"/>
        </c:scaling>
        <c:delete val="1"/>
        <c:axPos val="l"/>
        <c:numFmt formatCode="General" sourceLinked="1"/>
        <c:majorTickMark val="none"/>
        <c:minorTickMark val="none"/>
        <c:tickLblPos val="nextTo"/>
        <c:crossAx val="289670312"/>
        <c:crosses val="autoZero"/>
        <c:auto val="1"/>
        <c:lblAlgn val="ctr"/>
        <c:lblOffset val="100"/>
      </c:catAx>
      <c:valAx>
        <c:axId val="289670312"/>
        <c:scaling>
          <c:orientation val="minMax"/>
          <c:max val="1"/>
        </c:scaling>
        <c:delete val="1"/>
        <c:axPos val="b"/>
        <c:numFmt formatCode="0%" sourceLinked="1"/>
        <c:majorTickMark val="none"/>
        <c:minorTickMark val="none"/>
        <c:tickLblPos val="nextTo"/>
        <c:crossAx val="289669920"/>
        <c:crosses val="autoZero"/>
        <c:crossBetween val="between"/>
      </c:valAx>
      <c:spPr>
        <a:noFill/>
        <a:ln>
          <a:noFill/>
        </a:ln>
        <a:effectLst/>
      </c:spPr>
    </c:plotArea>
    <c:legend>
      <c:legendPos val="b"/>
      <c:layout>
        <c:manualLayout>
          <c:xMode val="edge"/>
          <c:yMode val="edge"/>
          <c:x val="0.056349123026288382"/>
          <c:y val="0.6046359994474374"/>
          <c:w val="0.9"/>
          <c:h val="0.08458705819667278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2988505747126436"/>
          <c:y val="0.056847545219638244"/>
          <c:w val="0.95402298850574707"/>
          <c:h val="0.499353394779141"/>
        </c:manualLayout>
      </c:layout>
      <c:barChart>
        <c:barDir val="bar"/>
        <c:grouping val="stacked"/>
        <c:varyColors val="0"/>
        <c:ser>
          <c:idx val="0"/>
          <c:order val="0"/>
          <c:tx>
            <c:strRef>
              <c:f>Sheet1!$E$126</c:f>
              <c:strCache>
                <c:ptCount val="1"/>
                <c:pt idx="0">
                  <c:v>Strongly 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Sheet1!$F$126</c:f>
              <c:numCache>
                <c:formatCode>0%</c:formatCode>
                <c:ptCount val="1"/>
                <c:pt idx="0">
                  <c:v>0.56</c:v>
                </c:pt>
              </c:numCache>
            </c:numRef>
          </c:val>
        </c:ser>
        <c:ser>
          <c:idx val="1"/>
          <c:order val="1"/>
          <c:tx>
            <c:strRef>
              <c:f>Sheet1!$E$127</c:f>
              <c:strCache>
                <c:ptCount val="1"/>
                <c:pt idx="0">
                  <c:v>Tend to 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Sheet1!$F$127</c:f>
              <c:numCache>
                <c:formatCode>0%</c:formatCode>
                <c:ptCount val="1"/>
                <c:pt idx="0">
                  <c:v>0.17</c:v>
                </c:pt>
              </c:numCache>
            </c:numRef>
          </c:val>
        </c:ser>
        <c:ser>
          <c:idx val="2"/>
          <c:order val="2"/>
          <c:tx>
            <c:strRef>
              <c:f>Sheet1!$E$128</c:f>
              <c:strCache>
                <c:ptCount val="1"/>
                <c:pt idx="0">
                  <c:v>Neither agree nor disagree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Sheet1!$F$128</c:f>
              <c:numCache>
                <c:formatCode>0%</c:formatCode>
                <c:ptCount val="1"/>
                <c:pt idx="0">
                  <c:v>0.16</c:v>
                </c:pt>
              </c:numCache>
            </c:numRef>
          </c:val>
        </c:ser>
        <c:ser>
          <c:idx val="3"/>
          <c:order val="3"/>
          <c:tx>
            <c:strRef>
              <c:f>Sheet1!$E$129</c:f>
              <c:strCache>
                <c:ptCount val="1"/>
                <c:pt idx="0">
                  <c:v>Tend to disagree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Sheet1!$F$129</c:f>
              <c:numCache>
                <c:formatCode>0%</c:formatCode>
                <c:ptCount val="1"/>
                <c:pt idx="0">
                  <c:v>0.07</c:v>
                </c:pt>
              </c:numCache>
            </c:numRef>
          </c:val>
        </c:ser>
        <c:ser>
          <c:idx val="4"/>
          <c:order val="4"/>
          <c:tx>
            <c:strRef>
              <c:f>Sheet1!$E$130</c:f>
              <c:strCache>
                <c:ptCount val="1"/>
                <c:pt idx="0">
                  <c:v>Strongly Disagree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Sheet1!$F$130</c:f>
              <c:numCache>
                <c:formatCode>0%</c:formatCode>
                <c:ptCount val="1"/>
                <c:pt idx="0">
                  <c:v>0.04</c:v>
                </c:pt>
              </c:numCache>
            </c:numRef>
          </c:val>
        </c:ser>
        <c:dLbls>
          <c:dLblPos val="ctr"/>
          <c:showLegendKey val="0"/>
          <c:showVal val="1"/>
          <c:showCatName val="0"/>
          <c:showSerName val="0"/>
          <c:showPercent val="0"/>
          <c:showBubbleSize val="0"/>
        </c:dLbls>
        <c:gapWidth val="150"/>
        <c:overlap val="100"/>
        <c:axId val="289671096"/>
        <c:axId val="289671488"/>
      </c:barChart>
      <c:catAx>
        <c:axId val="289671096"/>
        <c:scaling>
          <c:orientation val="minMax"/>
        </c:scaling>
        <c:delete val="1"/>
        <c:axPos val="l"/>
        <c:numFmt formatCode="General" sourceLinked="1"/>
        <c:majorTickMark val="none"/>
        <c:minorTickMark val="none"/>
        <c:tickLblPos val="nextTo"/>
        <c:crossAx val="289671488"/>
        <c:crosses val="autoZero"/>
        <c:auto val="1"/>
        <c:lblAlgn val="ctr"/>
        <c:lblOffset val="100"/>
      </c:catAx>
      <c:valAx>
        <c:axId val="289671488"/>
        <c:scaling>
          <c:orientation val="minMax"/>
          <c:max val="1"/>
        </c:scaling>
        <c:delete val="1"/>
        <c:axPos val="b"/>
        <c:numFmt formatCode="0%" sourceLinked="1"/>
        <c:majorTickMark val="none"/>
        <c:minorTickMark val="none"/>
        <c:tickLblPos val="nextTo"/>
        <c:crossAx val="289671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3965141612200435"/>
          <c:y val="0.061624649859943981"/>
          <c:w val="0.95206971677559915"/>
          <c:h val="0.57492931030679983"/>
        </c:manualLayout>
      </c:layout>
      <c:barChart>
        <c:barDir val="bar"/>
        <c:grouping val="stacked"/>
        <c:varyColors val="0"/>
        <c:ser>
          <c:idx val="0"/>
          <c:order val="0"/>
          <c:tx>
            <c:strRef>
              <c:f>Sheet1!$E$142</c:f>
              <c:strCache>
                <c:ptCount val="1"/>
                <c:pt idx="0">
                  <c:v>Strongly 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Sheet1!$F$142</c:f>
              <c:numCache>
                <c:formatCode>0%</c:formatCode>
                <c:ptCount val="1"/>
                <c:pt idx="0">
                  <c:v>0.57</c:v>
                </c:pt>
              </c:numCache>
            </c:numRef>
          </c:val>
        </c:ser>
        <c:ser>
          <c:idx val="1"/>
          <c:order val="1"/>
          <c:tx>
            <c:strRef>
              <c:f>Sheet1!$E$143</c:f>
              <c:strCache>
                <c:ptCount val="1"/>
                <c:pt idx="0">
                  <c:v>Tend to 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Sheet1!$F$143</c:f>
              <c:numCache>
                <c:formatCode>0%</c:formatCode>
                <c:ptCount val="1"/>
                <c:pt idx="0">
                  <c:v>0.25</c:v>
                </c:pt>
              </c:numCache>
            </c:numRef>
          </c:val>
        </c:ser>
        <c:ser>
          <c:idx val="2"/>
          <c:order val="2"/>
          <c:tx>
            <c:strRef>
              <c:f>Sheet1!$E$144</c:f>
              <c:strCache>
                <c:ptCount val="1"/>
                <c:pt idx="0">
                  <c:v>Neither agree nor disagree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Sheet1!$F$144</c:f>
              <c:numCache>
                <c:formatCode>0%</c:formatCode>
                <c:ptCount val="1"/>
                <c:pt idx="0">
                  <c:v>0.08</c:v>
                </c:pt>
              </c:numCache>
            </c:numRef>
          </c:val>
        </c:ser>
        <c:ser>
          <c:idx val="3"/>
          <c:order val="3"/>
          <c:tx>
            <c:strRef>
              <c:f>Sheet1!$E$145</c:f>
              <c:strCache>
                <c:ptCount val="1"/>
                <c:pt idx="0">
                  <c:v>Tend to disagree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Sheet1!$F$145</c:f>
              <c:numCache>
                <c:formatCode>0%</c:formatCode>
                <c:ptCount val="1"/>
                <c:pt idx="0">
                  <c:v>0.03</c:v>
                </c:pt>
              </c:numCache>
            </c:numRef>
          </c:val>
        </c:ser>
        <c:ser>
          <c:idx val="4"/>
          <c:order val="4"/>
          <c:tx>
            <c:strRef>
              <c:f>Sheet1!$E$146</c:f>
              <c:strCache>
                <c:ptCount val="1"/>
                <c:pt idx="0">
                  <c:v>Strongly Disagree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Sheet1!$F$146</c:f>
              <c:numCache>
                <c:formatCode>0%</c:formatCode>
                <c:ptCount val="1"/>
                <c:pt idx="0">
                  <c:v>0.07</c:v>
                </c:pt>
              </c:numCache>
            </c:numRef>
          </c:val>
        </c:ser>
        <c:dLbls>
          <c:dLblPos val="ctr"/>
          <c:showLegendKey val="0"/>
          <c:showVal val="1"/>
          <c:showCatName val="0"/>
          <c:showSerName val="0"/>
          <c:showPercent val="0"/>
          <c:showBubbleSize val="0"/>
        </c:dLbls>
        <c:gapWidth val="150"/>
        <c:overlap val="100"/>
        <c:axId val="289672272"/>
        <c:axId val="289672664"/>
      </c:barChart>
      <c:catAx>
        <c:axId val="289672272"/>
        <c:scaling>
          <c:orientation val="minMax"/>
        </c:scaling>
        <c:delete val="1"/>
        <c:axPos val="l"/>
        <c:numFmt formatCode="General" sourceLinked="1"/>
        <c:majorTickMark val="none"/>
        <c:minorTickMark val="none"/>
        <c:tickLblPos val="nextTo"/>
        <c:crossAx val="289672664"/>
        <c:crosses val="autoZero"/>
        <c:auto val="1"/>
        <c:lblAlgn val="ctr"/>
        <c:lblOffset val="100"/>
      </c:catAx>
      <c:valAx>
        <c:axId val="289672664"/>
        <c:scaling>
          <c:orientation val="minMax"/>
          <c:max val="1"/>
        </c:scaling>
        <c:delete val="1"/>
        <c:axPos val="b"/>
        <c:numFmt formatCode="0%" sourceLinked="1"/>
        <c:majorTickMark val="none"/>
        <c:minorTickMark val="none"/>
        <c:tickLblPos val="nextTo"/>
        <c:crossAx val="2896722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3770934629929769"/>
          <c:y val="0.057291666666666664"/>
          <c:w val="0.95245813074014052"/>
          <c:h val="0.46940042650918634"/>
        </c:manualLayout>
      </c:layout>
      <c:barChart>
        <c:barDir val="bar"/>
        <c:grouping val="stacked"/>
        <c:varyColors val="0"/>
        <c:ser>
          <c:idx val="0"/>
          <c:order val="0"/>
          <c:tx>
            <c:strRef>
              <c:f>Sheet1!$E$158</c:f>
              <c:strCache>
                <c:ptCount val="1"/>
                <c:pt idx="0">
                  <c:v>Strongly Agree</c:v>
                </c:pt>
              </c:strCache>
            </c:strRef>
          </c:tx>
          <c:spPr>
            <a:solidFill>
              <a:schemeClr val="accent1"/>
            </a:solidFill>
            <a:ln>
              <a:noFill/>
            </a:ln>
            <a:effectLst/>
          </c:spPr>
          <c:dLbls>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Sheet1!$F$158</c:f>
              <c:numCache>
                <c:formatCode>0%</c:formatCode>
                <c:ptCount val="1"/>
                <c:pt idx="0">
                  <c:v>0.46</c:v>
                </c:pt>
              </c:numCache>
            </c:numRef>
          </c:val>
        </c:ser>
        <c:ser>
          <c:idx val="1"/>
          <c:order val="1"/>
          <c:tx>
            <c:strRef>
              <c:f>Sheet1!$E$159</c:f>
              <c:strCache>
                <c:ptCount val="1"/>
                <c:pt idx="0">
                  <c:v>Tend to 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Sheet1!$F$159</c:f>
              <c:numCache>
                <c:formatCode>0%</c:formatCode>
                <c:ptCount val="1"/>
                <c:pt idx="0">
                  <c:v>0.23</c:v>
                </c:pt>
              </c:numCache>
            </c:numRef>
          </c:val>
        </c:ser>
        <c:ser>
          <c:idx val="2"/>
          <c:order val="2"/>
          <c:tx>
            <c:strRef>
              <c:f>Sheet1!$E$160</c:f>
              <c:strCache>
                <c:ptCount val="1"/>
                <c:pt idx="0">
                  <c:v>Neither agree nor disagree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Sheet1!$F$160</c:f>
              <c:numCache>
                <c:formatCode>0%</c:formatCode>
                <c:ptCount val="1"/>
                <c:pt idx="0">
                  <c:v>0.22</c:v>
                </c:pt>
              </c:numCache>
            </c:numRef>
          </c:val>
        </c:ser>
        <c:ser>
          <c:idx val="3"/>
          <c:order val="3"/>
          <c:tx>
            <c:strRef>
              <c:f>Sheet1!$E$161</c:f>
              <c:strCache>
                <c:ptCount val="1"/>
                <c:pt idx="0">
                  <c:v>Tend to disagree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Sheet1!$F$161</c:f>
              <c:numCache>
                <c:formatCode>0%</c:formatCode>
                <c:ptCount val="1"/>
                <c:pt idx="0">
                  <c:v>0.05</c:v>
                </c:pt>
              </c:numCache>
            </c:numRef>
          </c:val>
        </c:ser>
        <c:ser>
          <c:idx val="4"/>
          <c:order val="4"/>
          <c:tx>
            <c:strRef>
              <c:f>Sheet1!$E$162</c:f>
              <c:strCache>
                <c:ptCount val="1"/>
                <c:pt idx="0">
                  <c:v>Strongly Disagree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Sheet1!$F$162</c:f>
              <c:numCache>
                <c:formatCode>0%</c:formatCode>
                <c:ptCount val="1"/>
                <c:pt idx="0">
                  <c:v>0.05</c:v>
                </c:pt>
              </c:numCache>
            </c:numRef>
          </c:val>
        </c:ser>
        <c:dLbls>
          <c:dLblPos val="ctr"/>
          <c:showLegendKey val="0"/>
          <c:showVal val="1"/>
          <c:showCatName val="0"/>
          <c:showSerName val="0"/>
          <c:showPercent val="0"/>
          <c:showBubbleSize val="0"/>
        </c:dLbls>
        <c:gapWidth val="150"/>
        <c:overlap val="100"/>
        <c:axId val="290170704"/>
        <c:axId val="290171096"/>
      </c:barChart>
      <c:catAx>
        <c:axId val="290170704"/>
        <c:scaling>
          <c:orientation val="minMax"/>
        </c:scaling>
        <c:delete val="1"/>
        <c:axPos val="l"/>
        <c:numFmt formatCode="General" sourceLinked="1"/>
        <c:majorTickMark val="none"/>
        <c:minorTickMark val="none"/>
        <c:tickLblPos val="nextTo"/>
        <c:crossAx val="290171096"/>
        <c:crosses val="autoZero"/>
        <c:auto val="1"/>
        <c:lblAlgn val="ctr"/>
        <c:lblOffset val="100"/>
      </c:catAx>
      <c:valAx>
        <c:axId val="290171096"/>
        <c:scaling>
          <c:orientation val="minMax"/>
          <c:max val="1"/>
        </c:scaling>
        <c:delete val="1"/>
        <c:axPos val="b"/>
        <c:numFmt formatCode="0%" sourceLinked="1"/>
        <c:majorTickMark val="none"/>
        <c:minorTickMark val="none"/>
        <c:tickLblPos val="nextTo"/>
        <c:crossAx val="290170704"/>
        <c:crosses val="autoZero"/>
        <c:crossBetween val="between"/>
      </c:valAx>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LCC">
      <a:dk1>
        <a:srgbClr val="000000"/>
      </a:dk1>
      <a:lt1>
        <a:sysClr val="window" lastClr="FFFFFF"/>
      </a:lt1>
      <a:dk2>
        <a:srgbClr val="17365D"/>
      </a:dk2>
      <a:lt2>
        <a:srgbClr val="FFFFFF"/>
      </a:lt2>
      <a:accent1>
        <a:srgbClr val="D31145"/>
      </a:accent1>
      <a:accent2>
        <a:srgbClr val="C7C8CA"/>
      </a:accent2>
      <a:accent3>
        <a:srgbClr val="80AADF"/>
      </a:accent3>
      <a:accent4>
        <a:srgbClr val="AB73D5"/>
      </a:accent4>
      <a:accent5>
        <a:srgbClr val="FFD965"/>
      </a:accent5>
      <a:accent6>
        <a:srgbClr val="92D050"/>
      </a:accent6>
      <a:hlink>
        <a:srgbClr val="D31145"/>
      </a:hlink>
      <a:folHlink>
        <a:srgbClr val="C7C8C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27AB-EB03-45FC-A383-718E2B8D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Stannard, Jack</dc:creator>
  <cp:lastModifiedBy>C Frost</cp:lastModifiedBy>
  <cp:revision>3</cp:revision>
  <cp:lastPrinted>2019-03-18T09:20:00Z</cp:lastPrinted>
  <dcterms:created xsi:type="dcterms:W3CDTF">2019-03-18T16:15:00Z</dcterms:created>
  <dcterms:modified xsi:type="dcterms:W3CDTF">2019-03-19T11:18:00Z</dcterms:modified>
</cp:coreProperties>
</file>